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FD7025" w14:textId="6B39F780" w:rsidR="00A86056" w:rsidRPr="00613EA5" w:rsidRDefault="00A86056" w:rsidP="00A86056">
      <w:pPr>
        <w:pStyle w:val="Ttulo1"/>
        <w:rPr>
          <w:rFonts w:asciiTheme="minorHAnsi" w:hAnsiTheme="minorHAnsi" w:cstheme="minorHAnsi"/>
          <w:b/>
          <w:bCs/>
          <w:color w:val="9B2D1F" w:themeColor="accent2"/>
          <w:sz w:val="28"/>
          <w:szCs w:val="28"/>
        </w:rPr>
      </w:pPr>
      <w:r w:rsidRPr="00613EA5">
        <w:rPr>
          <w:rFonts w:asciiTheme="minorHAnsi" w:hAnsiTheme="minorHAnsi" w:cstheme="minorHAnsi"/>
          <w:b/>
          <w:bCs/>
          <w:color w:val="9B2D1F" w:themeColor="accent2"/>
          <w:sz w:val="28"/>
          <w:szCs w:val="28"/>
        </w:rPr>
        <w:t>FUNDACION MINCI</w:t>
      </w:r>
    </w:p>
    <w:p w14:paraId="11AAF431" w14:textId="77777777" w:rsidR="003E13BA" w:rsidRPr="00613EA5" w:rsidRDefault="00A86056" w:rsidP="00A86056">
      <w:pPr>
        <w:pStyle w:val="Ttulo1"/>
        <w:rPr>
          <w:rFonts w:asciiTheme="minorHAnsi" w:hAnsiTheme="minorHAnsi" w:cstheme="minorHAnsi"/>
          <w:b/>
          <w:bCs/>
          <w:color w:val="9B2D1F" w:themeColor="accent2"/>
          <w:sz w:val="28"/>
          <w:szCs w:val="28"/>
        </w:rPr>
      </w:pPr>
      <w:r w:rsidRPr="00613EA5">
        <w:rPr>
          <w:rFonts w:asciiTheme="minorHAnsi" w:hAnsiTheme="minorHAnsi" w:cstheme="minorHAnsi"/>
          <w:b/>
          <w:bCs/>
          <w:color w:val="9B2D1F" w:themeColor="accent2"/>
          <w:sz w:val="28"/>
          <w:szCs w:val="28"/>
        </w:rPr>
        <w:t xml:space="preserve">Notas a los Estados Financieros </w:t>
      </w:r>
    </w:p>
    <w:p w14:paraId="5AD47384" w14:textId="7F9E6C4E" w:rsidR="00A86056" w:rsidRPr="00613EA5" w:rsidRDefault="00A86056" w:rsidP="00A86056">
      <w:pPr>
        <w:pStyle w:val="Ttulo1"/>
        <w:rPr>
          <w:rFonts w:asciiTheme="minorHAnsi" w:hAnsiTheme="minorHAnsi" w:cstheme="minorHAnsi"/>
          <w:b/>
          <w:bCs/>
          <w:color w:val="9B2D1F" w:themeColor="accent2"/>
          <w:sz w:val="28"/>
          <w:szCs w:val="28"/>
        </w:rPr>
      </w:pPr>
      <w:r w:rsidRPr="00613EA5">
        <w:rPr>
          <w:rFonts w:asciiTheme="minorHAnsi" w:hAnsiTheme="minorHAnsi" w:cstheme="minorHAnsi"/>
          <w:b/>
          <w:bCs/>
          <w:color w:val="9B2D1F" w:themeColor="accent2"/>
          <w:sz w:val="28"/>
          <w:szCs w:val="28"/>
        </w:rPr>
        <w:t>Año 202</w:t>
      </w:r>
      <w:r w:rsidR="00DC4BDD">
        <w:rPr>
          <w:rFonts w:asciiTheme="minorHAnsi" w:hAnsiTheme="minorHAnsi" w:cstheme="minorHAnsi"/>
          <w:b/>
          <w:bCs/>
          <w:color w:val="9B2D1F" w:themeColor="accent2"/>
          <w:sz w:val="28"/>
          <w:szCs w:val="28"/>
        </w:rPr>
        <w:t>5</w:t>
      </w:r>
    </w:p>
    <w:p w14:paraId="3AFC84A7" w14:textId="0479C959" w:rsidR="00A86056" w:rsidRPr="00C01028" w:rsidRDefault="00A86056" w:rsidP="00A86056">
      <w:pPr>
        <w:rPr>
          <w:rFonts w:cstheme="minorHAnsi"/>
          <w:sz w:val="22"/>
          <w:szCs w:val="22"/>
        </w:rPr>
      </w:pPr>
    </w:p>
    <w:p w14:paraId="551344B4" w14:textId="679E9598" w:rsidR="003E13BA" w:rsidRPr="00C01028" w:rsidRDefault="003E13BA" w:rsidP="003E13BA">
      <w:pPr>
        <w:spacing w:after="0"/>
        <w:jc w:val="right"/>
        <w:rPr>
          <w:rFonts w:cstheme="minorHAnsi"/>
          <w:sz w:val="22"/>
          <w:szCs w:val="22"/>
        </w:rPr>
      </w:pPr>
      <w:r w:rsidRPr="00C01028">
        <w:rPr>
          <w:rFonts w:cstheme="minorHAnsi"/>
          <w:noProof/>
          <w:sz w:val="22"/>
          <w:szCs w:val="22"/>
        </w:rPr>
        <w:drawing>
          <wp:inline distT="0" distB="0" distL="0" distR="0" wp14:anchorId="09266E81" wp14:editId="77C357A7">
            <wp:extent cx="2571750" cy="1966633"/>
            <wp:effectExtent l="0" t="0" r="0" b="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77716" cy="1971195"/>
                    </a:xfrm>
                    <a:prstGeom prst="rect">
                      <a:avLst/>
                    </a:prstGeom>
                  </pic:spPr>
                </pic:pic>
              </a:graphicData>
            </a:graphic>
          </wp:inline>
        </w:drawing>
      </w:r>
      <w:r w:rsidRPr="00C01028">
        <w:rPr>
          <w:rFonts w:cstheme="minorHAnsi"/>
          <w:sz w:val="22"/>
          <w:szCs w:val="22"/>
        </w:rPr>
        <w:tab/>
      </w:r>
      <w:r w:rsidRPr="00C01028">
        <w:rPr>
          <w:rFonts w:cstheme="minorHAnsi"/>
          <w:sz w:val="22"/>
          <w:szCs w:val="22"/>
        </w:rPr>
        <w:tab/>
      </w:r>
      <w:r w:rsidRPr="00C01028">
        <w:rPr>
          <w:rFonts w:cstheme="minorHAnsi"/>
          <w:sz w:val="22"/>
          <w:szCs w:val="22"/>
        </w:rPr>
        <w:tab/>
      </w:r>
      <w:r w:rsidRPr="00C01028">
        <w:rPr>
          <w:rFonts w:cstheme="minorHAnsi"/>
          <w:sz w:val="22"/>
          <w:szCs w:val="22"/>
        </w:rPr>
        <w:tab/>
      </w:r>
      <w:r w:rsidRPr="00C01028">
        <w:rPr>
          <w:rFonts w:cstheme="minorHAnsi"/>
          <w:sz w:val="22"/>
          <w:szCs w:val="22"/>
        </w:rPr>
        <w:tab/>
      </w:r>
      <w:r w:rsidRPr="00C01028">
        <w:rPr>
          <w:rFonts w:cstheme="minorHAnsi"/>
          <w:sz w:val="22"/>
          <w:szCs w:val="22"/>
        </w:rPr>
        <w:tab/>
      </w:r>
      <w:r w:rsidRPr="00C01028">
        <w:rPr>
          <w:rFonts w:cstheme="minorHAnsi"/>
          <w:sz w:val="22"/>
          <w:szCs w:val="22"/>
        </w:rPr>
        <w:tab/>
        <w:t xml:space="preserve"> </w:t>
      </w:r>
      <w:r w:rsidRPr="00C01028">
        <w:rPr>
          <w:rFonts w:cstheme="minorHAnsi"/>
          <w:noProof/>
          <w:sz w:val="22"/>
          <w:szCs w:val="22"/>
        </w:rPr>
        <w:drawing>
          <wp:inline distT="0" distB="0" distL="0" distR="0" wp14:anchorId="51E9D305" wp14:editId="52FBDA66">
            <wp:extent cx="2809875" cy="2111824"/>
            <wp:effectExtent l="0" t="0" r="0" b="3175"/>
            <wp:docPr id="18" name="Imagen 18" descr="Un grupo de personas sentadas alrededor de una mesa de restaurante&#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n 18" descr="Un grupo de personas sentadas alrededor de una mesa de restaurante&#10;&#10;Descripción generada automáticamente"/>
                    <pic:cNvPicPr/>
                  </pic:nvPicPr>
                  <pic:blipFill>
                    <a:blip r:embed="rId9"/>
                    <a:stretch>
                      <a:fillRect/>
                    </a:stretch>
                  </pic:blipFill>
                  <pic:spPr>
                    <a:xfrm>
                      <a:off x="0" y="0"/>
                      <a:ext cx="2826353" cy="2124209"/>
                    </a:xfrm>
                    <a:prstGeom prst="rect">
                      <a:avLst/>
                    </a:prstGeom>
                  </pic:spPr>
                </pic:pic>
              </a:graphicData>
            </a:graphic>
          </wp:inline>
        </w:drawing>
      </w:r>
    </w:p>
    <w:p w14:paraId="0216A012" w14:textId="2F1877CB" w:rsidR="003E13BA" w:rsidRPr="00C01028" w:rsidRDefault="003E13BA" w:rsidP="003E13BA">
      <w:pPr>
        <w:rPr>
          <w:rFonts w:cstheme="minorHAnsi"/>
          <w:sz w:val="22"/>
          <w:szCs w:val="22"/>
        </w:rPr>
      </w:pPr>
      <w:r w:rsidRPr="00C01028">
        <w:rPr>
          <w:rFonts w:cstheme="minorHAnsi"/>
          <w:noProof/>
          <w:sz w:val="22"/>
          <w:szCs w:val="22"/>
        </w:rPr>
        <w:drawing>
          <wp:inline distT="0" distB="0" distL="0" distR="0" wp14:anchorId="58B87CC3" wp14:editId="2143380A">
            <wp:extent cx="2819400" cy="1606755"/>
            <wp:effectExtent l="0" t="0" r="0" b="0"/>
            <wp:docPr id="19" name="Imagen 19" descr="Personas sentadas en una mesa&#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Imagen 19" descr="Personas sentadas en una mesa&#10;&#10;Descripción generada automáticamente con confianza baja"/>
                    <pic:cNvPicPr/>
                  </pic:nvPicPr>
                  <pic:blipFill>
                    <a:blip r:embed="rId10"/>
                    <a:stretch>
                      <a:fillRect/>
                    </a:stretch>
                  </pic:blipFill>
                  <pic:spPr>
                    <a:xfrm>
                      <a:off x="0" y="0"/>
                      <a:ext cx="2822203" cy="1608352"/>
                    </a:xfrm>
                    <a:prstGeom prst="rect">
                      <a:avLst/>
                    </a:prstGeom>
                  </pic:spPr>
                </pic:pic>
              </a:graphicData>
            </a:graphic>
          </wp:inline>
        </w:drawing>
      </w:r>
    </w:p>
    <w:p w14:paraId="6E4F43ED" w14:textId="6CB57CBE" w:rsidR="00A86056" w:rsidRDefault="00A86056" w:rsidP="00A86056">
      <w:pPr>
        <w:rPr>
          <w:rFonts w:cstheme="minorHAnsi"/>
          <w:sz w:val="22"/>
          <w:szCs w:val="22"/>
        </w:rPr>
      </w:pPr>
    </w:p>
    <w:p w14:paraId="097F8694" w14:textId="77777777" w:rsidR="00C01028" w:rsidRPr="00C01028" w:rsidRDefault="00C01028" w:rsidP="00A86056">
      <w:pPr>
        <w:rPr>
          <w:rFonts w:cstheme="minorHAnsi"/>
          <w:sz w:val="22"/>
          <w:szCs w:val="22"/>
        </w:rPr>
      </w:pPr>
    </w:p>
    <w:p w14:paraId="43018CCB" w14:textId="0A0E1F53" w:rsidR="000969D3" w:rsidRPr="000410B7" w:rsidRDefault="000969D3" w:rsidP="00A448F8">
      <w:pPr>
        <w:spacing w:after="0"/>
        <w:rPr>
          <w:rFonts w:cstheme="minorHAnsi"/>
          <w:b/>
          <w:bCs/>
          <w:color w:val="9B2D1F" w:themeColor="accent2"/>
          <w:sz w:val="22"/>
          <w:szCs w:val="22"/>
          <w:u w:val="single"/>
        </w:rPr>
      </w:pPr>
      <w:r w:rsidRPr="000410B7">
        <w:rPr>
          <w:rFonts w:cstheme="minorHAnsi"/>
          <w:b/>
          <w:bCs/>
          <w:color w:val="9B2D1F" w:themeColor="accent2"/>
          <w:sz w:val="22"/>
          <w:szCs w:val="22"/>
          <w:u w:val="single"/>
        </w:rPr>
        <w:lastRenderedPageBreak/>
        <w:t xml:space="preserve">NOTA 01 - ENTIDAD QUE INFORMA  </w:t>
      </w:r>
    </w:p>
    <w:p w14:paraId="54D7A3A6" w14:textId="77777777" w:rsidR="00A448F8" w:rsidRPr="00C01028" w:rsidRDefault="00A448F8" w:rsidP="00A448F8">
      <w:pPr>
        <w:spacing w:after="0"/>
        <w:rPr>
          <w:rFonts w:cstheme="minorHAnsi"/>
          <w:color w:val="D34817" w:themeColor="accent1"/>
          <w:sz w:val="22"/>
          <w:szCs w:val="22"/>
          <w:u w:val="single"/>
        </w:rPr>
      </w:pPr>
    </w:p>
    <w:p w14:paraId="0AB1BCA6" w14:textId="77777777" w:rsidR="000969D3" w:rsidRPr="00C01028" w:rsidRDefault="000969D3" w:rsidP="000969D3">
      <w:pPr>
        <w:jc w:val="both"/>
        <w:rPr>
          <w:rFonts w:cstheme="minorHAnsi"/>
          <w:sz w:val="22"/>
          <w:szCs w:val="22"/>
        </w:rPr>
      </w:pPr>
      <w:r w:rsidRPr="00C01028">
        <w:rPr>
          <w:rFonts w:cstheme="minorHAnsi"/>
          <w:sz w:val="22"/>
          <w:szCs w:val="22"/>
        </w:rPr>
        <w:t>FUNDACION MINCI (Mundos Interactivos del Conocimiento) es una fundación sin ánimo de lucro constituida de acuerdo con las leyes colombianas mediante documento privado del 8 de septiembre de 2.004 e inscrita en la cámara de comercio de Bogotá el 25 de noviembre de 2004 bajo el número 00079360 del Libro I de las entidades sin ánimo de lucro.</w:t>
      </w:r>
    </w:p>
    <w:p w14:paraId="5A8CCDF3" w14:textId="38F77115" w:rsidR="001762B2" w:rsidRPr="00C01028" w:rsidRDefault="000969D3" w:rsidP="000969D3">
      <w:pPr>
        <w:jc w:val="both"/>
        <w:rPr>
          <w:rFonts w:cstheme="minorHAnsi"/>
          <w:sz w:val="22"/>
          <w:szCs w:val="22"/>
        </w:rPr>
      </w:pPr>
      <w:r w:rsidRPr="00C01028">
        <w:rPr>
          <w:rFonts w:cstheme="minorHAnsi"/>
          <w:sz w:val="22"/>
          <w:szCs w:val="22"/>
        </w:rPr>
        <w:t>La Fundación tiene por objeto: Promover la formación social de redes de emprendimiento, buscando la consolidación de empresas que integren pequeños productores en mercados calificados, para prestar servicios de información comunicación, asesoría y consultoría también buscará permanentemente que jóvenes y sus familias logren el mejoramiento de sus ingresos y en general mejorar su calidad de vida, a través de los principios y valores que establece la Constitución y los señalados en la ley 1014 de 2006. Su objeto principal está enmarcado en la filosofía de fortalecer la calidad de la educación en Colombia a través del fortalecimiento de nuevos mecanismos para el desarrollo de la cultura de emprendimiento desde las comunidades educativas y sus familias, proponiendo el desarrollo redes de micro y pequeñas empresas que sean innovadoras que generen bienes y servicios de con criterios de desarrollo sostenible y comercio justo.</w:t>
      </w:r>
    </w:p>
    <w:p w14:paraId="398C4B51" w14:textId="77777777" w:rsidR="00C01028" w:rsidRDefault="00C01028" w:rsidP="00A448F8">
      <w:pPr>
        <w:spacing w:after="120"/>
        <w:rPr>
          <w:rFonts w:cstheme="minorHAnsi"/>
          <w:b/>
          <w:bCs/>
          <w:color w:val="9B2D1F" w:themeColor="accent2"/>
          <w:sz w:val="22"/>
          <w:szCs w:val="22"/>
        </w:rPr>
      </w:pPr>
    </w:p>
    <w:p w14:paraId="02E02D60" w14:textId="7C5A917C" w:rsidR="000969D3" w:rsidRPr="00C01028" w:rsidRDefault="000969D3" w:rsidP="00A448F8">
      <w:pPr>
        <w:spacing w:after="120"/>
        <w:rPr>
          <w:rFonts w:cstheme="minorHAnsi"/>
          <w:b/>
          <w:bCs/>
          <w:color w:val="9B2D1F" w:themeColor="accent2"/>
          <w:sz w:val="22"/>
          <w:szCs w:val="22"/>
        </w:rPr>
      </w:pPr>
      <w:r w:rsidRPr="00C01028">
        <w:rPr>
          <w:rFonts w:cstheme="minorHAnsi"/>
          <w:b/>
          <w:bCs/>
          <w:color w:val="9B2D1F" w:themeColor="accent2"/>
          <w:sz w:val="22"/>
          <w:szCs w:val="22"/>
        </w:rPr>
        <w:t xml:space="preserve">GESTIÓN DE </w:t>
      </w:r>
      <w:r w:rsidRPr="000410B7">
        <w:rPr>
          <w:rFonts w:cstheme="minorHAnsi"/>
          <w:b/>
          <w:bCs/>
          <w:color w:val="9B2D1F" w:themeColor="accent2"/>
          <w:sz w:val="22"/>
          <w:szCs w:val="22"/>
        </w:rPr>
        <w:t>CAPITAL</w:t>
      </w:r>
    </w:p>
    <w:p w14:paraId="28128A4C" w14:textId="77777777" w:rsidR="000969D3" w:rsidRPr="00C01028" w:rsidRDefault="000969D3" w:rsidP="000969D3">
      <w:pPr>
        <w:spacing w:after="0"/>
        <w:rPr>
          <w:rFonts w:cstheme="minorHAnsi"/>
          <w:sz w:val="22"/>
          <w:szCs w:val="22"/>
        </w:rPr>
      </w:pPr>
      <w:r w:rsidRPr="00C01028">
        <w:rPr>
          <w:rFonts w:cstheme="minorHAnsi"/>
          <w:sz w:val="22"/>
          <w:szCs w:val="22"/>
        </w:rPr>
        <w:t xml:space="preserve">La gestión de capital se refiere a la administración del patrimonio de la Fundación. Las políticas de administración del capital de FUNDACION MINCI, tienen por objetivo: </w:t>
      </w:r>
    </w:p>
    <w:p w14:paraId="66BD59E0" w14:textId="77777777" w:rsidR="000969D3" w:rsidRPr="00C01028" w:rsidRDefault="000969D3" w:rsidP="00DF0DEB">
      <w:pPr>
        <w:pStyle w:val="Prrafodelista"/>
        <w:numPr>
          <w:ilvl w:val="0"/>
          <w:numId w:val="5"/>
        </w:numPr>
        <w:spacing w:after="0"/>
        <w:rPr>
          <w:rFonts w:cstheme="minorHAnsi"/>
          <w:b/>
          <w:bCs/>
          <w:color w:val="C00000"/>
          <w:sz w:val="22"/>
          <w:szCs w:val="22"/>
          <w:u w:val="single"/>
        </w:rPr>
      </w:pPr>
      <w:r w:rsidRPr="00C01028">
        <w:rPr>
          <w:rFonts w:cstheme="minorHAnsi"/>
          <w:sz w:val="22"/>
          <w:szCs w:val="22"/>
        </w:rPr>
        <w:t>Propender por el uso eficiente de los recursos para impulsar el fortalecimiento de redes de maestros y redes de emprendimientos en comunidades educativas y las empresas motor en las áreas de agricultura urbana, jardinería ecoturismo, ciencia y tecnología y manualidades entre otros.</w:t>
      </w:r>
    </w:p>
    <w:p w14:paraId="51B08781" w14:textId="092DDF50" w:rsidR="000969D3" w:rsidRPr="00C01028" w:rsidRDefault="000969D3" w:rsidP="00DF0DEB">
      <w:pPr>
        <w:pStyle w:val="Prrafodelista"/>
        <w:numPr>
          <w:ilvl w:val="0"/>
          <w:numId w:val="5"/>
        </w:numPr>
        <w:spacing w:after="0"/>
        <w:rPr>
          <w:rFonts w:cstheme="minorHAnsi"/>
          <w:b/>
          <w:bCs/>
          <w:color w:val="C00000"/>
          <w:sz w:val="22"/>
          <w:szCs w:val="22"/>
          <w:u w:val="single"/>
        </w:rPr>
      </w:pPr>
      <w:r w:rsidRPr="00C01028">
        <w:rPr>
          <w:rFonts w:cstheme="minorHAnsi"/>
          <w:sz w:val="22"/>
          <w:szCs w:val="22"/>
        </w:rPr>
        <w:t>La Fundación maneja una política estricta y de cero tolerancias para recibir cualquier recurso, donación o apoyo que se encuentre relacionado con el lavado de activos, actividades relacionadas con corrupción pública o privada, o actividades ilícitas.</w:t>
      </w:r>
    </w:p>
    <w:p w14:paraId="4B25D75F" w14:textId="05C43793" w:rsidR="001762B2" w:rsidRPr="00C01028" w:rsidRDefault="001762B2">
      <w:pPr>
        <w:rPr>
          <w:rFonts w:cstheme="minorHAnsi"/>
          <w:sz w:val="22"/>
          <w:szCs w:val="22"/>
          <w:u w:val="single"/>
        </w:rPr>
      </w:pPr>
    </w:p>
    <w:p w14:paraId="5E29E501" w14:textId="30C03708" w:rsidR="00A448F8" w:rsidRPr="00C01028" w:rsidRDefault="00A448F8" w:rsidP="00A448F8">
      <w:pPr>
        <w:spacing w:after="120"/>
        <w:rPr>
          <w:rFonts w:cstheme="minorHAnsi"/>
          <w:b/>
          <w:bCs/>
          <w:color w:val="D34817" w:themeColor="accent1"/>
          <w:sz w:val="22"/>
          <w:szCs w:val="22"/>
          <w:u w:val="single"/>
        </w:rPr>
      </w:pPr>
      <w:r w:rsidRPr="00C01028">
        <w:rPr>
          <w:rFonts w:cstheme="minorHAnsi"/>
          <w:b/>
          <w:bCs/>
          <w:color w:val="D34817" w:themeColor="accent1"/>
          <w:sz w:val="22"/>
          <w:szCs w:val="22"/>
          <w:u w:val="single"/>
        </w:rPr>
        <w:t>NOTA 2 – POLÍTICAS Y PRÁCTICAS CONTABLES</w:t>
      </w:r>
    </w:p>
    <w:p w14:paraId="590BE906" w14:textId="77777777" w:rsidR="00A448F8" w:rsidRPr="00C01028" w:rsidRDefault="00A448F8" w:rsidP="00A448F8">
      <w:pPr>
        <w:spacing w:after="0"/>
        <w:rPr>
          <w:rFonts w:cstheme="minorHAnsi"/>
          <w:b/>
          <w:bCs/>
          <w:color w:val="D34817" w:themeColor="accent1"/>
          <w:sz w:val="22"/>
          <w:szCs w:val="22"/>
          <w:u w:val="single"/>
        </w:rPr>
      </w:pPr>
    </w:p>
    <w:p w14:paraId="3D18F411" w14:textId="7B26BD9E" w:rsidR="00A448F8" w:rsidRPr="00C01028" w:rsidRDefault="00A448F8" w:rsidP="00A448F8">
      <w:pPr>
        <w:spacing w:after="120"/>
        <w:rPr>
          <w:rFonts w:cstheme="minorHAnsi"/>
          <w:b/>
          <w:bCs/>
          <w:color w:val="9B2D1F" w:themeColor="accent2"/>
          <w:sz w:val="22"/>
          <w:szCs w:val="22"/>
        </w:rPr>
      </w:pPr>
      <w:r w:rsidRPr="00C01028">
        <w:rPr>
          <w:rFonts w:cstheme="minorHAnsi"/>
          <w:b/>
          <w:bCs/>
          <w:color w:val="9B2D1F" w:themeColor="accent2"/>
          <w:sz w:val="22"/>
          <w:szCs w:val="22"/>
        </w:rPr>
        <w:t>BASES DE PRESENTACIÓN Y PREPARACIÓN</w:t>
      </w:r>
    </w:p>
    <w:p w14:paraId="5C508994" w14:textId="77777777" w:rsidR="00A448F8" w:rsidRPr="00C01028" w:rsidRDefault="00A448F8" w:rsidP="00A448F8">
      <w:pPr>
        <w:spacing w:after="120"/>
        <w:jc w:val="both"/>
        <w:rPr>
          <w:rFonts w:cstheme="minorHAnsi"/>
          <w:sz w:val="22"/>
          <w:szCs w:val="22"/>
        </w:rPr>
      </w:pPr>
      <w:r w:rsidRPr="00C01028">
        <w:rPr>
          <w:rFonts w:cstheme="minorHAnsi"/>
          <w:sz w:val="22"/>
          <w:szCs w:val="22"/>
        </w:rPr>
        <w:t xml:space="preserve">Los estados financieros han sido preparados sobre la base de costo histórico excepto para ciertos instrumentos financieros que son medidos al costo amortizado o al valor razonable, como se explica en las políticas contables descritas abajo. En general el costo histórico está basado en el valor razonable de las transacciones. </w:t>
      </w:r>
    </w:p>
    <w:p w14:paraId="546D03C5" w14:textId="77777777" w:rsidR="00A448F8" w:rsidRPr="00C01028" w:rsidRDefault="00A448F8" w:rsidP="00A448F8">
      <w:pPr>
        <w:spacing w:after="120"/>
        <w:jc w:val="both"/>
        <w:rPr>
          <w:rFonts w:cstheme="minorHAnsi"/>
          <w:sz w:val="22"/>
          <w:szCs w:val="22"/>
        </w:rPr>
      </w:pPr>
      <w:r w:rsidRPr="00C01028">
        <w:rPr>
          <w:rFonts w:cstheme="minorHAnsi"/>
          <w:sz w:val="22"/>
          <w:szCs w:val="22"/>
        </w:rPr>
        <w:t xml:space="preserve">Valor razonable es el precio que sería recibido por vender un activo o pagar o transferir un pasivo en una transacción ordenada entre participantes del mercado. </w:t>
      </w:r>
    </w:p>
    <w:p w14:paraId="1845466B" w14:textId="4F266421" w:rsidR="00A448F8" w:rsidRPr="00C01028" w:rsidRDefault="00A448F8" w:rsidP="00A448F8">
      <w:pPr>
        <w:spacing w:after="120"/>
        <w:jc w:val="both"/>
        <w:rPr>
          <w:rFonts w:cstheme="minorHAnsi"/>
          <w:sz w:val="22"/>
          <w:szCs w:val="22"/>
        </w:rPr>
      </w:pPr>
      <w:r w:rsidRPr="00C01028">
        <w:rPr>
          <w:rFonts w:cstheme="minorHAnsi"/>
          <w:sz w:val="22"/>
          <w:szCs w:val="22"/>
        </w:rPr>
        <w:lastRenderedPageBreak/>
        <w:t xml:space="preserve">La preparación de estados financieros </w:t>
      </w:r>
      <w:proofErr w:type="gramStart"/>
      <w:r w:rsidRPr="00C01028">
        <w:rPr>
          <w:rFonts w:cstheme="minorHAnsi"/>
          <w:sz w:val="22"/>
          <w:szCs w:val="22"/>
        </w:rPr>
        <w:t>de acuerdo a</w:t>
      </w:r>
      <w:proofErr w:type="gramEnd"/>
      <w:r w:rsidRPr="00C01028">
        <w:rPr>
          <w:rFonts w:cstheme="minorHAnsi"/>
          <w:sz w:val="22"/>
          <w:szCs w:val="22"/>
        </w:rPr>
        <w:t xml:space="preserve"> la NIIF para Pymes requiere del uso de ciertos estimados contables y también requiere que la gerencia ejerza su juicio profesional en el proceso de aplicación de las políticas contables.</w:t>
      </w:r>
    </w:p>
    <w:p w14:paraId="0EDC33E9" w14:textId="77777777" w:rsidR="00A448F8" w:rsidRPr="00C01028" w:rsidRDefault="00A448F8" w:rsidP="00A448F8">
      <w:pPr>
        <w:spacing w:after="120"/>
        <w:jc w:val="both"/>
        <w:rPr>
          <w:rFonts w:cstheme="minorHAnsi"/>
          <w:sz w:val="22"/>
          <w:szCs w:val="22"/>
        </w:rPr>
      </w:pPr>
    </w:p>
    <w:p w14:paraId="7600723C" w14:textId="77777777" w:rsidR="00A448F8" w:rsidRPr="00C01028" w:rsidRDefault="00A448F8" w:rsidP="00A448F8">
      <w:pPr>
        <w:spacing w:after="120"/>
        <w:rPr>
          <w:rFonts w:cstheme="minorHAnsi"/>
          <w:b/>
          <w:bCs/>
          <w:color w:val="9B2D1F" w:themeColor="accent2"/>
          <w:sz w:val="22"/>
          <w:szCs w:val="22"/>
        </w:rPr>
      </w:pPr>
      <w:r w:rsidRPr="00C01028">
        <w:rPr>
          <w:rFonts w:cstheme="minorHAnsi"/>
          <w:b/>
          <w:bCs/>
          <w:color w:val="9B2D1F" w:themeColor="accent2"/>
          <w:sz w:val="22"/>
          <w:szCs w:val="22"/>
        </w:rPr>
        <w:t>FRECUENCIA DE LA INFORMACION</w:t>
      </w:r>
    </w:p>
    <w:p w14:paraId="256D44F8" w14:textId="77777777" w:rsidR="00A448F8" w:rsidRPr="00C01028" w:rsidRDefault="00A448F8" w:rsidP="00A448F8">
      <w:pPr>
        <w:spacing w:after="0"/>
        <w:jc w:val="both"/>
        <w:rPr>
          <w:rFonts w:cstheme="minorHAnsi"/>
          <w:sz w:val="22"/>
          <w:szCs w:val="22"/>
        </w:rPr>
      </w:pPr>
      <w:r w:rsidRPr="00C01028">
        <w:rPr>
          <w:rFonts w:cstheme="minorHAnsi"/>
          <w:sz w:val="22"/>
          <w:szCs w:val="22"/>
        </w:rPr>
        <w:t xml:space="preserve">La frecuencia con la que se emitirá la información será anual, con corte a 31 de periodo sobre el que se informa, con el fin de dar a conocer la situación financiera de la entidad, base para la toma de decisiones económicas que redundan en el fortalecimiento de la compañía. </w:t>
      </w:r>
    </w:p>
    <w:p w14:paraId="2DCA172D" w14:textId="77777777" w:rsidR="00A448F8" w:rsidRPr="00C01028" w:rsidRDefault="00A448F8" w:rsidP="00A448F8">
      <w:pPr>
        <w:spacing w:after="0"/>
        <w:jc w:val="both"/>
        <w:rPr>
          <w:rFonts w:cstheme="minorHAnsi"/>
          <w:sz w:val="22"/>
          <w:szCs w:val="22"/>
        </w:rPr>
      </w:pPr>
    </w:p>
    <w:p w14:paraId="5394B0A2" w14:textId="6BFB9683" w:rsidR="001762B2" w:rsidRPr="00C01028" w:rsidRDefault="00A448F8" w:rsidP="00A448F8">
      <w:pPr>
        <w:spacing w:after="0"/>
        <w:jc w:val="both"/>
        <w:rPr>
          <w:rFonts w:cstheme="minorHAnsi"/>
          <w:sz w:val="22"/>
          <w:szCs w:val="22"/>
        </w:rPr>
      </w:pPr>
      <w:r w:rsidRPr="00C01028">
        <w:rPr>
          <w:rFonts w:cstheme="minorHAnsi"/>
          <w:sz w:val="22"/>
          <w:szCs w:val="22"/>
        </w:rPr>
        <w:t>La presentación del estado de situación financiera se hace presentando sus activos y pasivos corrientes y no corrientes como categorías separadas. La entidad revela el importe esperado a recuperar o a cancelar después de los doce meses para cada partida de activo o pasivo que combine el importe a recuperar o a cancelar.</w:t>
      </w:r>
    </w:p>
    <w:p w14:paraId="307C8330" w14:textId="41C230FE" w:rsidR="001762B2" w:rsidRPr="00C01028" w:rsidRDefault="001762B2">
      <w:pPr>
        <w:rPr>
          <w:rFonts w:cstheme="minorHAnsi"/>
          <w:sz w:val="22"/>
          <w:szCs w:val="22"/>
        </w:rPr>
      </w:pPr>
    </w:p>
    <w:p w14:paraId="5C89C14E" w14:textId="72E83F53" w:rsidR="00A448F8" w:rsidRPr="00C01028" w:rsidRDefault="00A448F8" w:rsidP="00A448F8">
      <w:pPr>
        <w:spacing w:after="120"/>
        <w:rPr>
          <w:rFonts w:cstheme="minorHAnsi"/>
          <w:b/>
          <w:bCs/>
          <w:color w:val="9B2D1F" w:themeColor="accent2"/>
          <w:sz w:val="22"/>
          <w:szCs w:val="22"/>
        </w:rPr>
      </w:pPr>
      <w:r w:rsidRPr="00C01028">
        <w:rPr>
          <w:rFonts w:cstheme="minorHAnsi"/>
          <w:b/>
          <w:bCs/>
          <w:color w:val="9B2D1F" w:themeColor="accent2"/>
          <w:sz w:val="22"/>
          <w:szCs w:val="22"/>
        </w:rPr>
        <w:t>DECLARACIÓN DE CUMPLIMIENTO</w:t>
      </w:r>
    </w:p>
    <w:p w14:paraId="51DE69B2" w14:textId="207C682E" w:rsidR="00A448F8" w:rsidRPr="00C01028" w:rsidRDefault="00A448F8" w:rsidP="00A448F8">
      <w:pPr>
        <w:jc w:val="both"/>
        <w:rPr>
          <w:rFonts w:cstheme="minorHAnsi"/>
          <w:sz w:val="22"/>
          <w:szCs w:val="22"/>
        </w:rPr>
      </w:pPr>
      <w:r w:rsidRPr="00C01028">
        <w:rPr>
          <w:rFonts w:cstheme="minorHAnsi"/>
          <w:sz w:val="22"/>
          <w:szCs w:val="22"/>
        </w:rPr>
        <w:t>Las políticas de contabilidad y la preparación de los estados financieros individuales de la FUNDACION MINCI han sido preparados de acuerdo con lo establecido en el decreto 2420 de 2015 modificado por el decreto 2496 de 2015 reglamentarios de la ley 1314 de 2009 los cuales incluyen el marco técnico normativo contable para las pequeñas o medianas empresas.</w:t>
      </w:r>
    </w:p>
    <w:p w14:paraId="5FB572EB" w14:textId="7EB6CA33" w:rsidR="00D14D09" w:rsidRPr="00C01028" w:rsidRDefault="00D14D09" w:rsidP="00A448F8">
      <w:pPr>
        <w:jc w:val="both"/>
        <w:rPr>
          <w:rFonts w:cstheme="minorHAnsi"/>
          <w:sz w:val="22"/>
          <w:szCs w:val="22"/>
        </w:rPr>
      </w:pPr>
      <w:r w:rsidRPr="00C01028">
        <w:rPr>
          <w:rFonts w:cstheme="minorHAnsi"/>
          <w:sz w:val="22"/>
          <w:szCs w:val="22"/>
        </w:rPr>
        <w:t>De acuerdo con lo anterior la información reconocida en los estados financieros cumple con lo establecido en el anexo técnico de los decretos reglamentarios anteriormente mencionados</w:t>
      </w:r>
    </w:p>
    <w:p w14:paraId="4577F6B2" w14:textId="6126C7F2" w:rsidR="00D14D09" w:rsidRPr="00C01028" w:rsidRDefault="00D14D09" w:rsidP="00A448F8">
      <w:pPr>
        <w:jc w:val="both"/>
        <w:rPr>
          <w:rFonts w:cstheme="minorHAnsi"/>
          <w:b/>
          <w:bCs/>
          <w:color w:val="9B2D1F" w:themeColor="accent2"/>
          <w:sz w:val="22"/>
          <w:szCs w:val="22"/>
        </w:rPr>
      </w:pPr>
      <w:r w:rsidRPr="00C01028">
        <w:rPr>
          <w:rFonts w:cstheme="minorHAnsi"/>
          <w:b/>
          <w:bCs/>
          <w:color w:val="9B2D1F" w:themeColor="accent2"/>
          <w:sz w:val="22"/>
          <w:szCs w:val="22"/>
        </w:rPr>
        <w:t>MONEDA FUNCIONAL</w:t>
      </w:r>
    </w:p>
    <w:p w14:paraId="27D17A23" w14:textId="0FB73436" w:rsidR="00D14D09" w:rsidRPr="00C01028" w:rsidRDefault="00D14D09" w:rsidP="00A448F8">
      <w:pPr>
        <w:jc w:val="both"/>
        <w:rPr>
          <w:rFonts w:cstheme="minorHAnsi"/>
          <w:sz w:val="22"/>
          <w:szCs w:val="22"/>
        </w:rPr>
      </w:pPr>
      <w:r w:rsidRPr="00C01028">
        <w:rPr>
          <w:rFonts w:cstheme="minorHAnsi"/>
          <w:sz w:val="22"/>
          <w:szCs w:val="22"/>
        </w:rPr>
        <w:t>La moneda del entorno económico principal o moneda funcional en que opera la entidad es el peso colombiano, razón por la cual, todas las transacciones que realice tanto en moneda nacional como en moneda extranjera serán realizadas en su moneda funcional.</w:t>
      </w:r>
    </w:p>
    <w:p w14:paraId="025AC0EE" w14:textId="77777777" w:rsidR="00D14D09" w:rsidRPr="00C01028" w:rsidRDefault="00D14D09" w:rsidP="00D14D09">
      <w:pPr>
        <w:spacing w:after="0"/>
        <w:jc w:val="both"/>
        <w:rPr>
          <w:rFonts w:cstheme="minorHAnsi"/>
          <w:sz w:val="22"/>
          <w:szCs w:val="22"/>
        </w:rPr>
      </w:pPr>
    </w:p>
    <w:p w14:paraId="20DE4372" w14:textId="6CAF08AA" w:rsidR="00D14D09" w:rsidRPr="00C01028" w:rsidRDefault="00D14D09" w:rsidP="00A448F8">
      <w:pPr>
        <w:jc w:val="both"/>
        <w:rPr>
          <w:rFonts w:cstheme="minorHAnsi"/>
          <w:b/>
          <w:bCs/>
          <w:color w:val="9B2D1F" w:themeColor="accent2"/>
          <w:sz w:val="22"/>
          <w:szCs w:val="22"/>
        </w:rPr>
      </w:pPr>
      <w:r w:rsidRPr="00C01028">
        <w:rPr>
          <w:rFonts w:cstheme="minorHAnsi"/>
          <w:b/>
          <w:bCs/>
          <w:color w:val="9B2D1F" w:themeColor="accent2"/>
          <w:sz w:val="22"/>
          <w:szCs w:val="22"/>
        </w:rPr>
        <w:t>OBJETIVO DE LOS ESTADOS FINANCIEROS</w:t>
      </w:r>
    </w:p>
    <w:p w14:paraId="11EC4724" w14:textId="6EA81E9C" w:rsidR="00D14D09" w:rsidRPr="00C01028" w:rsidRDefault="00D14D09" w:rsidP="00A448F8">
      <w:pPr>
        <w:jc w:val="both"/>
        <w:rPr>
          <w:rFonts w:cstheme="minorHAnsi"/>
          <w:sz w:val="22"/>
          <w:szCs w:val="22"/>
        </w:rPr>
      </w:pPr>
      <w:r w:rsidRPr="00C01028">
        <w:rPr>
          <w:rFonts w:cstheme="minorHAnsi"/>
          <w:sz w:val="22"/>
          <w:szCs w:val="22"/>
        </w:rPr>
        <w:t>El objetivo de la información financiera es presentar Estados Financieros útiles, confiables, transparentes y que reflejen razonablemente la situación financiera de La FUNDACION MINCI, y así contribuyan a los socios en la toma de decisiones.</w:t>
      </w:r>
    </w:p>
    <w:p w14:paraId="42AB30B3" w14:textId="77777777" w:rsidR="00D14D09" w:rsidRPr="00C01028" w:rsidRDefault="00D14D09" w:rsidP="00D14D09">
      <w:pPr>
        <w:spacing w:after="0"/>
        <w:jc w:val="both"/>
        <w:rPr>
          <w:rFonts w:cstheme="minorHAnsi"/>
          <w:sz w:val="22"/>
          <w:szCs w:val="22"/>
        </w:rPr>
      </w:pPr>
    </w:p>
    <w:p w14:paraId="1359C3D6" w14:textId="3C780E55" w:rsidR="00D14D09" w:rsidRPr="00C01028" w:rsidRDefault="00D14D09" w:rsidP="00A448F8">
      <w:pPr>
        <w:jc w:val="both"/>
        <w:rPr>
          <w:rFonts w:cstheme="minorHAnsi"/>
          <w:b/>
          <w:bCs/>
          <w:color w:val="9B2D1F" w:themeColor="accent2"/>
          <w:sz w:val="22"/>
          <w:szCs w:val="22"/>
        </w:rPr>
      </w:pPr>
      <w:r w:rsidRPr="00C01028">
        <w:rPr>
          <w:rFonts w:cstheme="minorHAnsi"/>
          <w:b/>
          <w:bCs/>
          <w:color w:val="9B2D1F" w:themeColor="accent2"/>
          <w:sz w:val="22"/>
          <w:szCs w:val="22"/>
        </w:rPr>
        <w:t>CARACTERISTICAS CUALITATIVAS DE LA INFORMACION FINANCIERA</w:t>
      </w:r>
    </w:p>
    <w:p w14:paraId="64CA9B68" w14:textId="2A3E9A21" w:rsidR="00D14D09" w:rsidRPr="00C01028" w:rsidRDefault="00D14D09" w:rsidP="00A448F8">
      <w:pPr>
        <w:jc w:val="both"/>
        <w:rPr>
          <w:rFonts w:cstheme="minorHAnsi"/>
          <w:sz w:val="22"/>
          <w:szCs w:val="22"/>
        </w:rPr>
      </w:pPr>
      <w:r w:rsidRPr="00C01028">
        <w:rPr>
          <w:rFonts w:cstheme="minorHAnsi"/>
          <w:sz w:val="22"/>
          <w:szCs w:val="22"/>
        </w:rPr>
        <w:t xml:space="preserve">La información presentada por la FUNDACION MINCI. cumplirá con los principios establecidos en la NIIF para Pymes los cuales tienen como objeto ser comprensible para todos los usuarios interesados, relevante para la toma de decisiones fiables que no carezca de error ni sesgo; es </w:t>
      </w:r>
      <w:r w:rsidRPr="00C01028">
        <w:rPr>
          <w:rFonts w:cstheme="minorHAnsi"/>
          <w:sz w:val="22"/>
          <w:szCs w:val="22"/>
        </w:rPr>
        <w:lastRenderedPageBreak/>
        <w:t>importante resaltar que para que la información sea confiable debe prevalecer la esencia sobre la forma, es decir, los hechos económicos deben contabilizarse y presentarse de acuerdo con su esencia y no solamente en consideración a su forma legal, así mismo dicha información debe presentarse oportunamente con integridad y prudencia la cual le permitirá a los interesados comparar los estados financieros y tomar las decisiones económicas de la compañía.</w:t>
      </w:r>
    </w:p>
    <w:p w14:paraId="3EABBB6E" w14:textId="77777777" w:rsidR="00D14D09" w:rsidRPr="00C01028" w:rsidRDefault="00D14D09" w:rsidP="00D14D09">
      <w:pPr>
        <w:spacing w:after="0"/>
        <w:jc w:val="both"/>
        <w:rPr>
          <w:rFonts w:cstheme="minorHAnsi"/>
          <w:sz w:val="22"/>
          <w:szCs w:val="22"/>
        </w:rPr>
      </w:pPr>
    </w:p>
    <w:p w14:paraId="12B23EA3" w14:textId="27FDB1C0" w:rsidR="00D14D09" w:rsidRPr="00C01028" w:rsidRDefault="00D14D09" w:rsidP="00A448F8">
      <w:pPr>
        <w:jc w:val="both"/>
        <w:rPr>
          <w:rFonts w:cstheme="minorHAnsi"/>
          <w:b/>
          <w:bCs/>
          <w:color w:val="9B2D1F" w:themeColor="accent2"/>
          <w:sz w:val="22"/>
          <w:szCs w:val="22"/>
        </w:rPr>
      </w:pPr>
      <w:r w:rsidRPr="00C01028">
        <w:rPr>
          <w:rFonts w:cstheme="minorHAnsi"/>
          <w:b/>
          <w:bCs/>
          <w:color w:val="9B2D1F" w:themeColor="accent2"/>
          <w:sz w:val="22"/>
          <w:szCs w:val="22"/>
        </w:rPr>
        <w:t xml:space="preserve">RECONOCIMIENTO Y MEDICIÓN DE ACTIVOS, PASIVOS, INGRESOS Y GASTOS </w:t>
      </w:r>
    </w:p>
    <w:p w14:paraId="1FDD576B" w14:textId="77777777" w:rsidR="00D14D09" w:rsidRPr="00C01028" w:rsidRDefault="00D14D09" w:rsidP="00D14D09">
      <w:pPr>
        <w:jc w:val="both"/>
        <w:rPr>
          <w:rFonts w:cstheme="minorHAnsi"/>
          <w:sz w:val="22"/>
          <w:szCs w:val="22"/>
        </w:rPr>
      </w:pPr>
      <w:r w:rsidRPr="00C01028">
        <w:rPr>
          <w:rFonts w:cstheme="minorHAnsi"/>
          <w:sz w:val="22"/>
          <w:szCs w:val="22"/>
        </w:rPr>
        <w:t xml:space="preserve">El reconocimiento y medición de activos, pasivos, ingresos y gastos están basados en lo establecido en el marco conceptual de las NIIF plenas y la sección 2 de la NIIF para Pymes conceptos y principios generales. </w:t>
      </w:r>
    </w:p>
    <w:p w14:paraId="4A98E2B3" w14:textId="096F7446" w:rsidR="00D14D09" w:rsidRPr="00C01028" w:rsidRDefault="00D14D09" w:rsidP="00D14D09">
      <w:pPr>
        <w:jc w:val="both"/>
        <w:rPr>
          <w:rFonts w:cstheme="minorHAnsi"/>
          <w:sz w:val="22"/>
          <w:szCs w:val="22"/>
        </w:rPr>
      </w:pPr>
      <w:r w:rsidRPr="00C01028">
        <w:rPr>
          <w:rFonts w:cstheme="minorHAnsi"/>
          <w:sz w:val="22"/>
          <w:szCs w:val="22"/>
        </w:rPr>
        <w:t>Los elementos de los estados financieros serán incorporados en los mismos únicamente si cumplen las definiciones y los criterios de reconocimiento establecidos en el manual de políticas contables de la entidad la cual fue preparada con base en el estándar NIIF para pymes, así:</w:t>
      </w:r>
    </w:p>
    <w:p w14:paraId="603E3AD7" w14:textId="78715D54" w:rsidR="00D14D09" w:rsidRPr="00C01028" w:rsidRDefault="00D14D09" w:rsidP="00D14D09">
      <w:pPr>
        <w:pStyle w:val="Prrafodelista"/>
        <w:numPr>
          <w:ilvl w:val="0"/>
          <w:numId w:val="2"/>
        </w:numPr>
        <w:jc w:val="both"/>
        <w:rPr>
          <w:rFonts w:cstheme="minorHAnsi"/>
          <w:color w:val="000000" w:themeColor="text1"/>
          <w:sz w:val="22"/>
          <w:szCs w:val="22"/>
        </w:rPr>
      </w:pPr>
      <w:r w:rsidRPr="00C01028">
        <w:rPr>
          <w:rFonts w:cstheme="minorHAnsi"/>
          <w:b/>
          <w:bCs/>
          <w:color w:val="9B2D1F" w:themeColor="accent2"/>
          <w:sz w:val="22"/>
          <w:szCs w:val="22"/>
        </w:rPr>
        <w:t xml:space="preserve">Un activo </w:t>
      </w:r>
      <w:r w:rsidRPr="00C01028">
        <w:rPr>
          <w:rFonts w:cstheme="minorHAnsi"/>
          <w:color w:val="000000" w:themeColor="text1"/>
          <w:sz w:val="22"/>
          <w:szCs w:val="22"/>
        </w:rPr>
        <w:t>es un recurso controlado por la entidad como resultado de sucesos pasados, del que la entidad espera obtener, en el futuro, beneficios.</w:t>
      </w:r>
    </w:p>
    <w:p w14:paraId="7C91CD80" w14:textId="6D54C7A5" w:rsidR="00D14D09" w:rsidRPr="00C01028" w:rsidRDefault="00D14D09" w:rsidP="00D14D09">
      <w:pPr>
        <w:pStyle w:val="Prrafodelista"/>
        <w:numPr>
          <w:ilvl w:val="0"/>
          <w:numId w:val="2"/>
        </w:numPr>
        <w:jc w:val="both"/>
        <w:rPr>
          <w:rFonts w:cstheme="minorHAnsi"/>
          <w:color w:val="000000" w:themeColor="text1"/>
          <w:sz w:val="22"/>
          <w:szCs w:val="22"/>
        </w:rPr>
      </w:pPr>
      <w:r w:rsidRPr="00C01028">
        <w:rPr>
          <w:rFonts w:cstheme="minorHAnsi"/>
          <w:b/>
          <w:bCs/>
          <w:color w:val="9B2D1F" w:themeColor="accent2"/>
          <w:sz w:val="22"/>
          <w:szCs w:val="22"/>
        </w:rPr>
        <w:t xml:space="preserve">Un pasivo </w:t>
      </w:r>
      <w:r w:rsidRPr="00C01028">
        <w:rPr>
          <w:rFonts w:cstheme="minorHAnsi"/>
          <w:color w:val="000000" w:themeColor="text1"/>
          <w:sz w:val="22"/>
          <w:szCs w:val="22"/>
        </w:rPr>
        <w:t>es una obligación presente de la entidad, surgida a raíz de sucesos pasados al vencimiento de la cual, espera desprenderse de recursos que incorporan beneficios económicos.</w:t>
      </w:r>
    </w:p>
    <w:p w14:paraId="687BF87B" w14:textId="6C3377F7" w:rsidR="00D14D09" w:rsidRPr="00C01028" w:rsidRDefault="00D14D09" w:rsidP="00D14D09">
      <w:pPr>
        <w:pStyle w:val="Prrafodelista"/>
        <w:numPr>
          <w:ilvl w:val="0"/>
          <w:numId w:val="2"/>
        </w:numPr>
        <w:jc w:val="both"/>
        <w:rPr>
          <w:rFonts w:cstheme="minorHAnsi"/>
          <w:color w:val="000000" w:themeColor="text1"/>
          <w:sz w:val="22"/>
          <w:szCs w:val="22"/>
        </w:rPr>
      </w:pPr>
      <w:r w:rsidRPr="00C01028">
        <w:rPr>
          <w:rFonts w:cstheme="minorHAnsi"/>
          <w:b/>
          <w:bCs/>
          <w:color w:val="9B2D1F" w:themeColor="accent2"/>
          <w:sz w:val="22"/>
          <w:szCs w:val="22"/>
        </w:rPr>
        <w:t xml:space="preserve">Patrimonio </w:t>
      </w:r>
      <w:r w:rsidRPr="00C01028">
        <w:rPr>
          <w:rFonts w:cstheme="minorHAnsi"/>
          <w:color w:val="000000" w:themeColor="text1"/>
          <w:sz w:val="22"/>
          <w:szCs w:val="22"/>
        </w:rPr>
        <w:t>es la parte residual de los activos de la entidad, una vez deducidos todos sus pasivos</w:t>
      </w:r>
    </w:p>
    <w:p w14:paraId="0D8E229D" w14:textId="0D3AE778" w:rsidR="00D14D09" w:rsidRPr="00C01028" w:rsidRDefault="00D14D09" w:rsidP="00D14D09">
      <w:pPr>
        <w:pStyle w:val="Prrafodelista"/>
        <w:numPr>
          <w:ilvl w:val="0"/>
          <w:numId w:val="2"/>
        </w:numPr>
        <w:jc w:val="both"/>
        <w:rPr>
          <w:rFonts w:cstheme="minorHAnsi"/>
          <w:color w:val="000000" w:themeColor="text1"/>
          <w:sz w:val="22"/>
          <w:szCs w:val="22"/>
        </w:rPr>
      </w:pPr>
      <w:r w:rsidRPr="00C01028">
        <w:rPr>
          <w:rFonts w:cstheme="minorHAnsi"/>
          <w:b/>
          <w:bCs/>
          <w:color w:val="9B2D1F" w:themeColor="accent2"/>
          <w:sz w:val="22"/>
          <w:szCs w:val="22"/>
        </w:rPr>
        <w:t xml:space="preserve">Ingresos </w:t>
      </w:r>
      <w:r w:rsidRPr="00C01028">
        <w:rPr>
          <w:rFonts w:cstheme="minorHAnsi"/>
          <w:color w:val="000000" w:themeColor="text1"/>
          <w:sz w:val="22"/>
          <w:szCs w:val="22"/>
        </w:rPr>
        <w:t>son los incrementos en los beneficios económicos, producidos a lo largo del periodo sobre el que se informa, en forma de entradas o incrementos de valor de los activos, o bien como decrementos de las obligaciones, que dan como resultado aumentos del patrimonio, distintas de las relacionadas con las aportaciones de inversores de patrimonio.</w:t>
      </w:r>
    </w:p>
    <w:p w14:paraId="27CEB160" w14:textId="0F81B8BF" w:rsidR="00D14D09" w:rsidRPr="00C01028" w:rsidRDefault="00D14D09" w:rsidP="00D14D09">
      <w:pPr>
        <w:pStyle w:val="Prrafodelista"/>
        <w:numPr>
          <w:ilvl w:val="0"/>
          <w:numId w:val="2"/>
        </w:numPr>
        <w:jc w:val="both"/>
        <w:rPr>
          <w:rFonts w:cstheme="minorHAnsi"/>
          <w:color w:val="000000" w:themeColor="text1"/>
          <w:sz w:val="22"/>
          <w:szCs w:val="22"/>
        </w:rPr>
      </w:pPr>
      <w:r w:rsidRPr="00C01028">
        <w:rPr>
          <w:rFonts w:cstheme="minorHAnsi"/>
          <w:b/>
          <w:bCs/>
          <w:color w:val="9B2D1F" w:themeColor="accent2"/>
          <w:sz w:val="22"/>
          <w:szCs w:val="22"/>
        </w:rPr>
        <w:t xml:space="preserve">Gastos </w:t>
      </w:r>
      <w:r w:rsidRPr="00C01028">
        <w:rPr>
          <w:rFonts w:cstheme="minorHAnsi"/>
          <w:color w:val="000000" w:themeColor="text1"/>
          <w:sz w:val="22"/>
          <w:szCs w:val="22"/>
        </w:rPr>
        <w:t>son los decrementos en los beneficios económicos, producidos a lo largo del periodo sobre el que se informa, en forma de salidas o disminuciones del valor de los activos, o bien por la generación o aumento de los pasivos, que dan como resultado decrementos en el patrimonio, distintos de los relacionados con las distribuciones realizadas a los inversores de patrimonio</w:t>
      </w:r>
    </w:p>
    <w:p w14:paraId="7E992F0E" w14:textId="2FE792B7" w:rsidR="00D14D09" w:rsidRPr="00C01028" w:rsidRDefault="00D14D09" w:rsidP="00D14D09">
      <w:pPr>
        <w:jc w:val="both"/>
        <w:rPr>
          <w:rFonts w:cstheme="minorHAnsi"/>
          <w:color w:val="000000" w:themeColor="text1"/>
          <w:sz w:val="22"/>
          <w:szCs w:val="22"/>
        </w:rPr>
      </w:pPr>
      <w:r w:rsidRPr="00C01028">
        <w:rPr>
          <w:rFonts w:cstheme="minorHAnsi"/>
          <w:color w:val="000000" w:themeColor="text1"/>
          <w:sz w:val="22"/>
          <w:szCs w:val="22"/>
        </w:rPr>
        <w:t>Si no hay una política previamente establecida aplicable a para una transacción específica, se deberá remitir a la sección 10 de la NIIF para PYMES párrafo10.5 donde está establecida la jerarquía al decidir su aplicación:</w:t>
      </w:r>
    </w:p>
    <w:p w14:paraId="033CE2E9" w14:textId="439B4D53" w:rsidR="00DF0DEB" w:rsidRPr="00C01028" w:rsidRDefault="00DF0DEB" w:rsidP="00DF0DEB">
      <w:pPr>
        <w:ind w:left="708"/>
        <w:jc w:val="both"/>
        <w:rPr>
          <w:rFonts w:cstheme="minorHAnsi"/>
          <w:color w:val="000000" w:themeColor="text1"/>
          <w:sz w:val="22"/>
          <w:szCs w:val="22"/>
        </w:rPr>
      </w:pPr>
      <w:r w:rsidRPr="00C01028">
        <w:rPr>
          <w:rFonts w:cstheme="minorHAnsi"/>
          <w:b/>
          <w:bCs/>
          <w:color w:val="9B2D1F" w:themeColor="accent2"/>
          <w:sz w:val="22"/>
          <w:szCs w:val="22"/>
        </w:rPr>
        <w:t xml:space="preserve">NIVEL 1 </w:t>
      </w:r>
      <w:r w:rsidRPr="00C01028">
        <w:rPr>
          <w:rFonts w:cstheme="minorHAnsi"/>
          <w:color w:val="000000" w:themeColor="text1"/>
          <w:sz w:val="22"/>
          <w:szCs w:val="22"/>
        </w:rPr>
        <w:t xml:space="preserve">Requerimientos y guías establecidos en esta NIIF que traten cuestiones similares y relacionadas. </w:t>
      </w:r>
    </w:p>
    <w:p w14:paraId="28D82AAB" w14:textId="77777777" w:rsidR="00DF0DEB" w:rsidRPr="00C01028" w:rsidRDefault="00DF0DEB" w:rsidP="00DF0DEB">
      <w:pPr>
        <w:ind w:left="708"/>
        <w:jc w:val="both"/>
        <w:rPr>
          <w:rFonts w:cstheme="minorHAnsi"/>
          <w:color w:val="000000" w:themeColor="text1"/>
          <w:sz w:val="22"/>
          <w:szCs w:val="22"/>
        </w:rPr>
      </w:pPr>
      <w:r w:rsidRPr="00C01028">
        <w:rPr>
          <w:rFonts w:cstheme="minorHAnsi"/>
          <w:b/>
          <w:bCs/>
          <w:color w:val="9B2D1F" w:themeColor="accent2"/>
          <w:sz w:val="22"/>
          <w:szCs w:val="22"/>
        </w:rPr>
        <w:t>NIVEL 2</w:t>
      </w:r>
      <w:r w:rsidRPr="00C01028">
        <w:rPr>
          <w:rFonts w:cstheme="minorHAnsi"/>
          <w:color w:val="000000" w:themeColor="text1"/>
          <w:sz w:val="22"/>
          <w:szCs w:val="22"/>
        </w:rPr>
        <w:t xml:space="preserve"> Definiciones, criterios de reconocimiento y conceptos de medición para activos, pasivos, ingresos y gastos, y los principios generales estipulados en la Sección 2 Conceptos y Principios Generales. </w:t>
      </w:r>
    </w:p>
    <w:p w14:paraId="664581D2" w14:textId="273D1C02" w:rsidR="00DF0DEB" w:rsidRPr="00C01028" w:rsidRDefault="00DF0DEB" w:rsidP="00DF0DEB">
      <w:pPr>
        <w:ind w:firstLine="708"/>
        <w:jc w:val="both"/>
        <w:rPr>
          <w:rFonts w:cstheme="minorHAnsi"/>
          <w:color w:val="000000" w:themeColor="text1"/>
          <w:sz w:val="22"/>
          <w:szCs w:val="22"/>
        </w:rPr>
      </w:pPr>
      <w:r w:rsidRPr="00C01028">
        <w:rPr>
          <w:rFonts w:cstheme="minorHAnsi"/>
          <w:b/>
          <w:bCs/>
          <w:color w:val="9B2D1F" w:themeColor="accent2"/>
          <w:sz w:val="22"/>
          <w:szCs w:val="22"/>
        </w:rPr>
        <w:lastRenderedPageBreak/>
        <w:t>NIVEL 3</w:t>
      </w:r>
      <w:r w:rsidRPr="00C01028">
        <w:rPr>
          <w:rFonts w:cstheme="minorHAnsi"/>
          <w:color w:val="000000" w:themeColor="text1"/>
          <w:sz w:val="22"/>
          <w:szCs w:val="22"/>
        </w:rPr>
        <w:t xml:space="preserve"> Considerar los principios establecidos en las NIIF plenas.</w:t>
      </w:r>
    </w:p>
    <w:p w14:paraId="6E6846CD" w14:textId="77777777" w:rsidR="00DF0DEB" w:rsidRPr="00C01028" w:rsidRDefault="00DF0DEB" w:rsidP="00DF0DEB">
      <w:pPr>
        <w:spacing w:after="0"/>
        <w:ind w:firstLine="708"/>
        <w:jc w:val="both"/>
        <w:rPr>
          <w:rFonts w:cstheme="minorHAnsi"/>
          <w:color w:val="000000" w:themeColor="text1"/>
          <w:sz w:val="22"/>
          <w:szCs w:val="22"/>
        </w:rPr>
      </w:pPr>
    </w:p>
    <w:p w14:paraId="2FBB229A" w14:textId="31710AA7" w:rsidR="00DF0DEB" w:rsidRPr="00C01028" w:rsidRDefault="00DF0DEB" w:rsidP="00DF0DEB">
      <w:pPr>
        <w:jc w:val="both"/>
        <w:rPr>
          <w:rFonts w:cstheme="minorHAnsi"/>
          <w:b/>
          <w:bCs/>
          <w:color w:val="9B2D1F" w:themeColor="accent2"/>
          <w:sz w:val="22"/>
          <w:szCs w:val="22"/>
        </w:rPr>
      </w:pPr>
      <w:r w:rsidRPr="00C01028">
        <w:rPr>
          <w:rFonts w:cstheme="minorHAnsi"/>
          <w:b/>
          <w:bCs/>
          <w:color w:val="9B2D1F" w:themeColor="accent2"/>
          <w:sz w:val="22"/>
          <w:szCs w:val="22"/>
        </w:rPr>
        <w:t>PRESENTACION DE LOS ESTADOS FINANCIEROS</w:t>
      </w:r>
    </w:p>
    <w:p w14:paraId="58B27CF6" w14:textId="5418FCF4" w:rsidR="00DF0DEB" w:rsidRPr="00C01028" w:rsidRDefault="00DF0DEB" w:rsidP="00DF0DEB">
      <w:pPr>
        <w:jc w:val="both"/>
        <w:rPr>
          <w:rFonts w:cstheme="minorHAnsi"/>
          <w:b/>
          <w:bCs/>
          <w:color w:val="9B2D1F" w:themeColor="accent2"/>
          <w:sz w:val="22"/>
          <w:szCs w:val="22"/>
        </w:rPr>
      </w:pPr>
      <w:r w:rsidRPr="00C01028">
        <w:rPr>
          <w:rFonts w:cstheme="minorHAnsi"/>
          <w:b/>
          <w:bCs/>
          <w:color w:val="9B2D1F" w:themeColor="accent2"/>
          <w:sz w:val="22"/>
          <w:szCs w:val="22"/>
        </w:rPr>
        <w:t>CAMBIOS EN POLITICAS CONTABLES</w:t>
      </w:r>
    </w:p>
    <w:p w14:paraId="5DAD0AA2" w14:textId="354C63EE" w:rsidR="00DF0DEB" w:rsidRPr="00C01028" w:rsidRDefault="00DF0DEB" w:rsidP="00DF0DEB">
      <w:pPr>
        <w:jc w:val="both"/>
        <w:rPr>
          <w:rFonts w:cstheme="minorHAnsi"/>
          <w:color w:val="000000" w:themeColor="text1"/>
          <w:sz w:val="22"/>
          <w:szCs w:val="22"/>
        </w:rPr>
      </w:pPr>
      <w:r w:rsidRPr="00C01028">
        <w:rPr>
          <w:rFonts w:cstheme="minorHAnsi"/>
          <w:b/>
          <w:bCs/>
          <w:color w:val="9B2D1F" w:themeColor="accent2"/>
          <w:sz w:val="22"/>
          <w:szCs w:val="22"/>
        </w:rPr>
        <w:t xml:space="preserve">Políticas contables: </w:t>
      </w:r>
      <w:r w:rsidRPr="00C01028">
        <w:rPr>
          <w:rFonts w:cstheme="minorHAnsi"/>
          <w:color w:val="000000" w:themeColor="text1"/>
          <w:sz w:val="22"/>
          <w:szCs w:val="22"/>
        </w:rPr>
        <w:t>Son los principios, bases, convenciones, reglas y procedimientos específicos adoptados por una entidad al preparar y presentar estados financieros.</w:t>
      </w:r>
    </w:p>
    <w:p w14:paraId="2DE5893D" w14:textId="77777777" w:rsidR="00DF0DEB" w:rsidRPr="00C01028" w:rsidRDefault="00DF0DEB" w:rsidP="00DF0DEB">
      <w:pPr>
        <w:jc w:val="both"/>
        <w:rPr>
          <w:rFonts w:cstheme="minorHAnsi"/>
          <w:color w:val="000000" w:themeColor="text1"/>
          <w:sz w:val="22"/>
          <w:szCs w:val="22"/>
        </w:rPr>
      </w:pPr>
      <w:r w:rsidRPr="00C01028">
        <w:rPr>
          <w:rFonts w:cstheme="minorHAnsi"/>
          <w:color w:val="000000" w:themeColor="text1"/>
          <w:sz w:val="22"/>
          <w:szCs w:val="22"/>
        </w:rPr>
        <w:t xml:space="preserve">La FUNDACION MINCI selecciona y aplica sus políticas contables de manera uniforme para transacciones, otros sucesos que sean similares, a menos que la NIIF para PYMES requiera o permitan específicamente establecer categorías de partidas. Para las cuales podría ser apropiado aplicar diferentes políticas. De ser así, se selecciona una política contable adecuada y se aplica de manera uniforme a cada categoría. </w:t>
      </w:r>
    </w:p>
    <w:p w14:paraId="4EA26ABE" w14:textId="59CEA986" w:rsidR="00DF0DEB" w:rsidRPr="00C01028" w:rsidRDefault="00DF0DEB" w:rsidP="00DF0DEB">
      <w:pPr>
        <w:jc w:val="both"/>
        <w:rPr>
          <w:rFonts w:cstheme="minorHAnsi"/>
          <w:color w:val="000000" w:themeColor="text1"/>
          <w:sz w:val="22"/>
          <w:szCs w:val="22"/>
        </w:rPr>
      </w:pPr>
      <w:r w:rsidRPr="00C01028">
        <w:rPr>
          <w:rFonts w:cstheme="minorHAnsi"/>
          <w:color w:val="000000" w:themeColor="text1"/>
          <w:sz w:val="22"/>
          <w:szCs w:val="22"/>
        </w:rPr>
        <w:t>Esta cambiara una política contable solo si el cambio es requerido por a esta NIIF, o de lugar a que los estados financieros suministren información fiable y más relevante sobre los efectos de las transacciones, otros sucesos o condiciones sobre la situación financiera, el rendimiento financiero o los flujos de efectivo de la entidad.</w:t>
      </w:r>
    </w:p>
    <w:p w14:paraId="684A54A4" w14:textId="24F87E25" w:rsidR="00DF0DEB" w:rsidRPr="00C01028" w:rsidRDefault="00DF0DEB" w:rsidP="00DF0DEB">
      <w:pPr>
        <w:jc w:val="both"/>
        <w:rPr>
          <w:rFonts w:cstheme="minorHAnsi"/>
          <w:color w:val="000000" w:themeColor="text1"/>
          <w:sz w:val="22"/>
          <w:szCs w:val="22"/>
        </w:rPr>
      </w:pPr>
      <w:r w:rsidRPr="00C01028">
        <w:rPr>
          <w:rFonts w:cstheme="minorHAnsi"/>
          <w:color w:val="000000" w:themeColor="text1"/>
          <w:sz w:val="22"/>
          <w:szCs w:val="22"/>
        </w:rPr>
        <w:t>Para la FUNDACION MINCI no constituirán cambios en las políticas contables:</w:t>
      </w:r>
    </w:p>
    <w:p w14:paraId="1F03FABE" w14:textId="77777777" w:rsidR="00DF0DEB" w:rsidRPr="00C01028" w:rsidRDefault="00DF0DEB" w:rsidP="00250D9C">
      <w:pPr>
        <w:pStyle w:val="Prrafodelista"/>
        <w:numPr>
          <w:ilvl w:val="0"/>
          <w:numId w:val="4"/>
        </w:numPr>
        <w:jc w:val="both"/>
        <w:rPr>
          <w:rFonts w:cstheme="minorHAnsi"/>
          <w:sz w:val="22"/>
          <w:szCs w:val="22"/>
        </w:rPr>
      </w:pPr>
      <w:r w:rsidRPr="00C01028">
        <w:rPr>
          <w:rFonts w:cstheme="minorHAnsi"/>
          <w:sz w:val="22"/>
          <w:szCs w:val="22"/>
        </w:rPr>
        <w:t xml:space="preserve">La aplicación de una política contable para transacciones, otros sucesos o condiciones que difieren sustancialmente de los ocurridos con anterioridad. </w:t>
      </w:r>
    </w:p>
    <w:p w14:paraId="66C1157D" w14:textId="77777777" w:rsidR="00DF0DEB" w:rsidRPr="00C01028" w:rsidRDefault="00DF0DEB" w:rsidP="00250D9C">
      <w:pPr>
        <w:pStyle w:val="Prrafodelista"/>
        <w:numPr>
          <w:ilvl w:val="0"/>
          <w:numId w:val="4"/>
        </w:numPr>
        <w:jc w:val="both"/>
        <w:rPr>
          <w:rFonts w:cstheme="minorHAnsi"/>
          <w:sz w:val="22"/>
          <w:szCs w:val="22"/>
        </w:rPr>
      </w:pPr>
      <w:r w:rsidRPr="00C01028">
        <w:rPr>
          <w:rFonts w:cstheme="minorHAnsi"/>
          <w:sz w:val="22"/>
          <w:szCs w:val="22"/>
        </w:rPr>
        <w:t xml:space="preserve">También si al aplicar una nueva política contable para transacciones, otros eventos o condiciones que no han ocurrido anteriormente o que no eran significativos. </w:t>
      </w:r>
    </w:p>
    <w:p w14:paraId="6C0C11A7" w14:textId="52C8AAD7" w:rsidR="00DF0DEB" w:rsidRPr="00C01028" w:rsidRDefault="00DF0DEB" w:rsidP="008529E1">
      <w:pPr>
        <w:pStyle w:val="Prrafodelista"/>
        <w:numPr>
          <w:ilvl w:val="0"/>
          <w:numId w:val="4"/>
        </w:numPr>
        <w:spacing w:after="240"/>
        <w:jc w:val="both"/>
        <w:rPr>
          <w:rFonts w:cstheme="minorHAnsi"/>
          <w:color w:val="000000" w:themeColor="text1"/>
          <w:sz w:val="22"/>
          <w:szCs w:val="22"/>
        </w:rPr>
      </w:pPr>
      <w:r w:rsidRPr="00C01028">
        <w:rPr>
          <w:rFonts w:cstheme="minorHAnsi"/>
          <w:sz w:val="22"/>
          <w:szCs w:val="22"/>
        </w:rPr>
        <w:t>Finalmente, si se da un cambio en el modelo de costo cuando ya no está disponible una medida fiable del valor razonable (o viceversa) para un activo que esta NIIF requeriría o permitiría en otro caso medir al valor razonable.</w:t>
      </w:r>
    </w:p>
    <w:p w14:paraId="774ECD59" w14:textId="32157FC3" w:rsidR="00250D9C" w:rsidRPr="00C01028" w:rsidRDefault="008529E1" w:rsidP="00250D9C">
      <w:pPr>
        <w:jc w:val="both"/>
        <w:rPr>
          <w:rFonts w:cstheme="minorHAnsi"/>
          <w:color w:val="000000" w:themeColor="text1"/>
          <w:sz w:val="22"/>
          <w:szCs w:val="22"/>
        </w:rPr>
      </w:pPr>
      <w:r w:rsidRPr="00C01028">
        <w:rPr>
          <w:rFonts w:cstheme="minorHAnsi"/>
          <w:color w:val="000000" w:themeColor="text1"/>
          <w:sz w:val="22"/>
          <w:szCs w:val="22"/>
        </w:rPr>
        <w:t>La FUNDACION MINCI contabiliza los cambios de política contable tendrá dos opciones, la primera se procederá a generar un cambio o una política contable si la NIIF la requiriera y entonces se deberá remitirse a esta NIIF para establecer dicha política. La segunda opción es practicarla de forma retrospectiva o retroactiva según este establecido en las políticas contables.</w:t>
      </w:r>
    </w:p>
    <w:p w14:paraId="7DD32531" w14:textId="77777777" w:rsidR="008529E1" w:rsidRPr="00C01028" w:rsidRDefault="008529E1" w:rsidP="008529E1">
      <w:pPr>
        <w:spacing w:after="0"/>
        <w:jc w:val="both"/>
        <w:rPr>
          <w:rFonts w:cstheme="minorHAnsi"/>
          <w:color w:val="000000" w:themeColor="text1"/>
          <w:sz w:val="22"/>
          <w:szCs w:val="22"/>
        </w:rPr>
      </w:pPr>
    </w:p>
    <w:p w14:paraId="33684A94" w14:textId="2846C256" w:rsidR="008529E1" w:rsidRPr="00C01028" w:rsidRDefault="008529E1" w:rsidP="00250D9C">
      <w:pPr>
        <w:jc w:val="both"/>
        <w:rPr>
          <w:rFonts w:cstheme="minorHAnsi"/>
          <w:b/>
          <w:bCs/>
          <w:color w:val="9B2D1F" w:themeColor="accent2"/>
          <w:sz w:val="22"/>
          <w:szCs w:val="22"/>
        </w:rPr>
      </w:pPr>
      <w:r w:rsidRPr="00C01028">
        <w:rPr>
          <w:rFonts w:cstheme="minorHAnsi"/>
          <w:b/>
          <w:bCs/>
          <w:color w:val="9B2D1F" w:themeColor="accent2"/>
          <w:sz w:val="22"/>
          <w:szCs w:val="22"/>
        </w:rPr>
        <w:t>CAMBIO EN ESTIMACIONES CONTABLES</w:t>
      </w:r>
    </w:p>
    <w:p w14:paraId="5606C913" w14:textId="77777777" w:rsidR="008529E1" w:rsidRPr="00C01028" w:rsidRDefault="008529E1" w:rsidP="00250D9C">
      <w:pPr>
        <w:jc w:val="both"/>
        <w:rPr>
          <w:rFonts w:cstheme="minorHAnsi"/>
          <w:sz w:val="22"/>
          <w:szCs w:val="22"/>
        </w:rPr>
      </w:pPr>
      <w:r w:rsidRPr="00C01028">
        <w:rPr>
          <w:rFonts w:cstheme="minorHAnsi"/>
          <w:sz w:val="22"/>
          <w:szCs w:val="22"/>
        </w:rPr>
        <w:t xml:space="preserve">Los cambios en estimaciones contables se dan a partir de nueva información o nuevos acontecimientos y, por consiguiente, no son correcciones de errores. Un cambio en una estimación contable es un ajuste al importe en libros de un activo o de un pasivo. </w:t>
      </w:r>
    </w:p>
    <w:p w14:paraId="4CBC1AC2" w14:textId="77777777" w:rsidR="008529E1" w:rsidRPr="00C01028" w:rsidRDefault="008529E1" w:rsidP="00250D9C">
      <w:pPr>
        <w:jc w:val="both"/>
        <w:rPr>
          <w:rFonts w:cstheme="minorHAnsi"/>
          <w:sz w:val="22"/>
          <w:szCs w:val="22"/>
        </w:rPr>
      </w:pPr>
      <w:r w:rsidRPr="00C01028">
        <w:rPr>
          <w:rFonts w:cstheme="minorHAnsi"/>
          <w:sz w:val="22"/>
          <w:szCs w:val="22"/>
        </w:rPr>
        <w:lastRenderedPageBreak/>
        <w:t xml:space="preserve">LA FUNDACION MINCI, reconocerá el efecto de un cambio en una estimación contable cuando el en el periodo del cambio, si este solo afecta a un solo periodo, o el periodo de cambio y periodos futuros, si el periodo afecta a todos ellos. </w:t>
      </w:r>
    </w:p>
    <w:p w14:paraId="3D9A28B2" w14:textId="675B6AC0" w:rsidR="008529E1" w:rsidRPr="00C01028" w:rsidRDefault="008529E1" w:rsidP="00250D9C">
      <w:pPr>
        <w:jc w:val="both"/>
        <w:rPr>
          <w:rFonts w:cstheme="minorHAnsi"/>
          <w:sz w:val="22"/>
          <w:szCs w:val="22"/>
        </w:rPr>
      </w:pPr>
      <w:r w:rsidRPr="00C01028">
        <w:rPr>
          <w:rFonts w:cstheme="minorHAnsi"/>
          <w:sz w:val="22"/>
          <w:szCs w:val="22"/>
        </w:rPr>
        <w:t>En la medida en que un cambio en una estimación contable de lugar a cambios en activos y pasivos, o se refiera a una partida de patrimonio, la entidad reconocerá ajustando el importe de libros de las correspondientes partidas de activo, pasivo, patrimonio, en el periodo que tiene lugar.</w:t>
      </w:r>
    </w:p>
    <w:p w14:paraId="391B45A1" w14:textId="3101853A" w:rsidR="008529E1" w:rsidRPr="00C01028" w:rsidRDefault="0001097B" w:rsidP="00E039DE">
      <w:pPr>
        <w:spacing w:after="0"/>
        <w:jc w:val="both"/>
        <w:rPr>
          <w:rFonts w:cstheme="minorHAnsi"/>
          <w:color w:val="000000" w:themeColor="text1"/>
          <w:sz w:val="22"/>
          <w:szCs w:val="22"/>
        </w:rPr>
      </w:pPr>
      <w:r w:rsidRPr="00C01028">
        <w:rPr>
          <w:rFonts w:cstheme="minorHAnsi"/>
          <w:b/>
          <w:bCs/>
          <w:color w:val="000000" w:themeColor="text1"/>
          <w:sz w:val="22"/>
          <w:szCs w:val="22"/>
        </w:rPr>
        <w:t>NOTA:</w:t>
      </w:r>
      <w:r w:rsidRPr="00C01028">
        <w:rPr>
          <w:rFonts w:cstheme="minorHAnsi"/>
          <w:color w:val="000000" w:themeColor="text1"/>
          <w:sz w:val="22"/>
          <w:szCs w:val="22"/>
        </w:rPr>
        <w:t xml:space="preserve"> Se aclara que la empresa Mundos Interactivos del Conocimiento, socia de la Fundación, se encuentra en proceso de valoración del software desarrollado por la empresa y que ha sido donado a la Fundación. Por esta razón, una vez se determine la valorización el intangible más conveniente acorde con la inversión realizada y la valoración en el mercado, este dato, será actualizado en los intangibles de la Fundación.</w:t>
      </w:r>
    </w:p>
    <w:p w14:paraId="2260D1DF" w14:textId="77777777" w:rsidR="00E039DE" w:rsidRPr="00C01028" w:rsidRDefault="00E039DE" w:rsidP="00E039DE">
      <w:pPr>
        <w:spacing w:after="0"/>
        <w:jc w:val="both"/>
        <w:rPr>
          <w:rFonts w:cstheme="minorHAnsi"/>
          <w:color w:val="000000" w:themeColor="text1"/>
          <w:sz w:val="22"/>
          <w:szCs w:val="22"/>
        </w:rPr>
      </w:pPr>
    </w:p>
    <w:p w14:paraId="7C7ACDB9" w14:textId="77601CA5" w:rsidR="0001097B" w:rsidRPr="00C01028" w:rsidRDefault="00E039DE" w:rsidP="00250D9C">
      <w:pPr>
        <w:jc w:val="both"/>
        <w:rPr>
          <w:rFonts w:cstheme="minorHAnsi"/>
          <w:b/>
          <w:bCs/>
          <w:color w:val="9B2D1F" w:themeColor="accent2"/>
          <w:sz w:val="22"/>
          <w:szCs w:val="22"/>
        </w:rPr>
      </w:pPr>
      <w:r w:rsidRPr="00C01028">
        <w:rPr>
          <w:rFonts w:cstheme="minorHAnsi"/>
          <w:b/>
          <w:bCs/>
          <w:color w:val="9B2D1F" w:themeColor="accent2"/>
          <w:sz w:val="22"/>
          <w:szCs w:val="22"/>
        </w:rPr>
        <w:t>CORRECCION DE ERRORES</w:t>
      </w:r>
    </w:p>
    <w:p w14:paraId="3D37CE78" w14:textId="305E1899" w:rsidR="00E039DE" w:rsidRPr="00C01028" w:rsidRDefault="00E039DE" w:rsidP="00250D9C">
      <w:pPr>
        <w:jc w:val="both"/>
        <w:rPr>
          <w:rFonts w:cstheme="minorHAnsi"/>
          <w:color w:val="000000" w:themeColor="text1"/>
          <w:sz w:val="22"/>
          <w:szCs w:val="22"/>
        </w:rPr>
      </w:pPr>
      <w:r w:rsidRPr="00C01028">
        <w:rPr>
          <w:rFonts w:cstheme="minorHAnsi"/>
          <w:color w:val="000000" w:themeColor="text1"/>
          <w:sz w:val="22"/>
          <w:szCs w:val="22"/>
        </w:rPr>
        <w:t>Son errores de periodos anteriores, las omisiones e inexactitudes en los estados financieros de una entidad correspondiente a uno o más periodos y surgen de no emplear, o de un error al utilizar, información fiable que estaba disponible cuando los estados financieros para estos periodos fueron autorizados a emitirse e información que podría esperarse razonablemente que se hubiera conseguido y tenido en cuenta en la elaboración y presentación de los estados financieros.</w:t>
      </w:r>
    </w:p>
    <w:p w14:paraId="4FD160A3" w14:textId="77777777" w:rsidR="00E039DE" w:rsidRPr="00C01028" w:rsidRDefault="00E039DE" w:rsidP="00250D9C">
      <w:pPr>
        <w:jc w:val="both"/>
        <w:rPr>
          <w:rFonts w:cstheme="minorHAnsi"/>
          <w:color w:val="000000" w:themeColor="text1"/>
          <w:sz w:val="22"/>
          <w:szCs w:val="22"/>
        </w:rPr>
      </w:pPr>
      <w:r w:rsidRPr="00C01028">
        <w:rPr>
          <w:rFonts w:cstheme="minorHAnsi"/>
          <w:color w:val="000000" w:themeColor="text1"/>
          <w:sz w:val="22"/>
          <w:szCs w:val="22"/>
        </w:rPr>
        <w:t xml:space="preserve">Los errores incluyen los efectos aritméticos, errores en la aplicación de políticas contables, supervisión y mala interpretación de hechos, así como fraudes. </w:t>
      </w:r>
    </w:p>
    <w:p w14:paraId="24E2766E" w14:textId="1F8FCF43" w:rsidR="00E039DE" w:rsidRPr="00C01028" w:rsidRDefault="00E039DE" w:rsidP="00250D9C">
      <w:pPr>
        <w:jc w:val="both"/>
        <w:rPr>
          <w:rFonts w:cstheme="minorHAnsi"/>
          <w:color w:val="000000" w:themeColor="text1"/>
          <w:sz w:val="22"/>
          <w:szCs w:val="22"/>
        </w:rPr>
      </w:pPr>
      <w:r w:rsidRPr="00C01028">
        <w:rPr>
          <w:rFonts w:cstheme="minorHAnsi"/>
          <w:color w:val="000000" w:themeColor="text1"/>
          <w:sz w:val="22"/>
          <w:szCs w:val="22"/>
        </w:rPr>
        <w:t>En la medida que se practica, la entidad corregirá de forma retroactiva los errores significativos de periodos anteriores, en los primeros estados financieros formulados después de su descubrimiento:</w:t>
      </w:r>
    </w:p>
    <w:p w14:paraId="0E548068" w14:textId="66F2803C" w:rsidR="00E039DE" w:rsidRPr="00C01028" w:rsidRDefault="00E039DE" w:rsidP="00E039DE">
      <w:pPr>
        <w:pStyle w:val="Prrafodelista"/>
        <w:numPr>
          <w:ilvl w:val="0"/>
          <w:numId w:val="6"/>
        </w:numPr>
        <w:jc w:val="both"/>
        <w:rPr>
          <w:rFonts w:cstheme="minorHAnsi"/>
          <w:color w:val="000000" w:themeColor="text1"/>
          <w:sz w:val="22"/>
          <w:szCs w:val="22"/>
        </w:rPr>
      </w:pPr>
      <w:r w:rsidRPr="00C01028">
        <w:rPr>
          <w:rFonts w:cstheme="minorHAnsi"/>
          <w:color w:val="000000" w:themeColor="text1"/>
          <w:sz w:val="22"/>
          <w:szCs w:val="22"/>
        </w:rPr>
        <w:t>Re expresando la información comparativa para el periodo o periodos anteriores en los que se presentó el error.</w:t>
      </w:r>
    </w:p>
    <w:p w14:paraId="6B0F0BB6" w14:textId="002E60A2" w:rsidR="00E039DE" w:rsidRPr="00C01028" w:rsidRDefault="00E039DE" w:rsidP="00E039DE">
      <w:pPr>
        <w:pStyle w:val="Prrafodelista"/>
        <w:numPr>
          <w:ilvl w:val="0"/>
          <w:numId w:val="6"/>
        </w:numPr>
        <w:jc w:val="both"/>
        <w:rPr>
          <w:rFonts w:cstheme="minorHAnsi"/>
          <w:color w:val="000000" w:themeColor="text1"/>
          <w:sz w:val="22"/>
          <w:szCs w:val="22"/>
        </w:rPr>
      </w:pPr>
      <w:r w:rsidRPr="00C01028">
        <w:rPr>
          <w:rFonts w:cstheme="minorHAnsi"/>
          <w:color w:val="000000" w:themeColor="text1"/>
          <w:sz w:val="22"/>
          <w:szCs w:val="22"/>
        </w:rPr>
        <w:t>Re expresando los saldos iniciales de activos de activos, pasivos, y patrimonio del primer periodo cuando el error haya ocurrido con anterioridad o el primer periodo para el que se presenta información.</w:t>
      </w:r>
    </w:p>
    <w:p w14:paraId="0E3DCA5F" w14:textId="1499A8CC" w:rsidR="00E039DE" w:rsidRPr="00C01028" w:rsidRDefault="00E039DE" w:rsidP="00E039DE">
      <w:pPr>
        <w:jc w:val="both"/>
        <w:rPr>
          <w:rFonts w:cstheme="minorHAnsi"/>
          <w:color w:val="000000" w:themeColor="text1"/>
          <w:sz w:val="22"/>
          <w:szCs w:val="22"/>
        </w:rPr>
      </w:pPr>
      <w:r w:rsidRPr="00C01028">
        <w:rPr>
          <w:rFonts w:cstheme="minorHAnsi"/>
          <w:color w:val="000000" w:themeColor="text1"/>
          <w:sz w:val="22"/>
          <w:szCs w:val="22"/>
        </w:rPr>
        <w:t xml:space="preserve">Cuando sea impracticable la determinación de los efectos de un error en la información comparativa en un periodo especifico de uno o más periodos anteriores presentados, la entidad re expresará los saldos iniciales de los activos, pasivos y patrimonio del primer periodo para el cual el </w:t>
      </w:r>
      <w:proofErr w:type="gramStart"/>
      <w:r w:rsidRPr="00C01028">
        <w:rPr>
          <w:rFonts w:cstheme="minorHAnsi"/>
          <w:color w:val="000000" w:themeColor="text1"/>
          <w:sz w:val="22"/>
          <w:szCs w:val="22"/>
        </w:rPr>
        <w:t>re expresión</w:t>
      </w:r>
      <w:proofErr w:type="gramEnd"/>
      <w:r w:rsidRPr="00C01028">
        <w:rPr>
          <w:rFonts w:cstheme="minorHAnsi"/>
          <w:color w:val="000000" w:themeColor="text1"/>
          <w:sz w:val="22"/>
          <w:szCs w:val="22"/>
        </w:rPr>
        <w:t xml:space="preserve"> retroactiva sea practicable.</w:t>
      </w:r>
    </w:p>
    <w:p w14:paraId="0BDE00F2" w14:textId="5ED70A6C" w:rsidR="00E06421" w:rsidRPr="00C01028" w:rsidRDefault="00E06421" w:rsidP="00E039DE">
      <w:pPr>
        <w:jc w:val="both"/>
        <w:rPr>
          <w:rFonts w:cstheme="minorHAnsi"/>
          <w:color w:val="000000" w:themeColor="text1"/>
          <w:sz w:val="22"/>
          <w:szCs w:val="22"/>
        </w:rPr>
      </w:pPr>
    </w:p>
    <w:p w14:paraId="7AB7A826" w14:textId="5D8D8BE3" w:rsidR="00E06421" w:rsidRPr="00C01028" w:rsidRDefault="00E06421" w:rsidP="00E039DE">
      <w:pPr>
        <w:jc w:val="both"/>
        <w:rPr>
          <w:rFonts w:cstheme="minorHAnsi"/>
          <w:b/>
          <w:bCs/>
          <w:color w:val="9B2D1F" w:themeColor="accent2"/>
          <w:sz w:val="22"/>
          <w:szCs w:val="22"/>
        </w:rPr>
      </w:pPr>
      <w:r w:rsidRPr="00C01028">
        <w:rPr>
          <w:rFonts w:cstheme="minorHAnsi"/>
          <w:b/>
          <w:bCs/>
          <w:color w:val="9B2D1F" w:themeColor="accent2"/>
          <w:sz w:val="22"/>
          <w:szCs w:val="22"/>
        </w:rPr>
        <w:t>USO DE ESTIMACIONES Y JUICIOS</w:t>
      </w:r>
    </w:p>
    <w:p w14:paraId="1A3C6E51" w14:textId="432F12ED" w:rsidR="00E06421" w:rsidRPr="00C01028" w:rsidRDefault="00E06421" w:rsidP="00E06421">
      <w:pPr>
        <w:jc w:val="both"/>
        <w:rPr>
          <w:rFonts w:cstheme="minorHAnsi"/>
          <w:color w:val="000000" w:themeColor="text1"/>
          <w:sz w:val="22"/>
          <w:szCs w:val="22"/>
        </w:rPr>
      </w:pPr>
      <w:r w:rsidRPr="00C01028">
        <w:rPr>
          <w:rFonts w:cstheme="minorHAnsi"/>
          <w:color w:val="000000" w:themeColor="text1"/>
          <w:sz w:val="22"/>
          <w:szCs w:val="22"/>
        </w:rPr>
        <w:lastRenderedPageBreak/>
        <w:t>La preparación de los estados financieros de acuerdo con la NIIF Para pymes requiere el uso de ciertos estimados contables, así como que la gerencia ejerza el juicio en el proceso de aplicación de políticas contables.</w:t>
      </w:r>
    </w:p>
    <w:p w14:paraId="7FF5D760" w14:textId="77777777" w:rsidR="00E06421" w:rsidRPr="00C01028" w:rsidRDefault="00E06421" w:rsidP="00E06421">
      <w:pPr>
        <w:spacing w:after="0"/>
        <w:jc w:val="both"/>
        <w:rPr>
          <w:rFonts w:cstheme="minorHAnsi"/>
          <w:color w:val="000000" w:themeColor="text1"/>
          <w:sz w:val="22"/>
          <w:szCs w:val="22"/>
        </w:rPr>
      </w:pPr>
    </w:p>
    <w:p w14:paraId="79761951" w14:textId="60053780" w:rsidR="00E06421" w:rsidRPr="00C01028" w:rsidRDefault="00E06421" w:rsidP="00E06421">
      <w:pPr>
        <w:spacing w:after="120"/>
        <w:jc w:val="both"/>
        <w:rPr>
          <w:rFonts w:cstheme="minorHAnsi"/>
          <w:b/>
          <w:bCs/>
          <w:color w:val="9B2D1F" w:themeColor="accent2"/>
          <w:sz w:val="22"/>
          <w:szCs w:val="22"/>
        </w:rPr>
      </w:pPr>
      <w:r w:rsidRPr="00C01028">
        <w:rPr>
          <w:rFonts w:cstheme="minorHAnsi"/>
          <w:b/>
          <w:bCs/>
          <w:color w:val="9B2D1F" w:themeColor="accent2"/>
          <w:sz w:val="22"/>
          <w:szCs w:val="22"/>
        </w:rPr>
        <w:t xml:space="preserve">BASE DE CONTABILIDAD DE CAUSACIÓN </w:t>
      </w:r>
    </w:p>
    <w:p w14:paraId="6FF25741" w14:textId="2240A89C" w:rsidR="00E06421" w:rsidRPr="00C01028" w:rsidRDefault="00E06421" w:rsidP="00E06421">
      <w:pPr>
        <w:jc w:val="both"/>
        <w:rPr>
          <w:rFonts w:cstheme="minorHAnsi"/>
          <w:sz w:val="22"/>
          <w:szCs w:val="22"/>
        </w:rPr>
      </w:pPr>
      <w:r w:rsidRPr="00C01028">
        <w:rPr>
          <w:rFonts w:cstheme="minorHAnsi"/>
          <w:sz w:val="22"/>
          <w:szCs w:val="22"/>
        </w:rPr>
        <w:t>La compañía elabora sus estados financieros, excepto para la información de los flujos de efectivo, usando la base de contabilidad de causación.</w:t>
      </w:r>
    </w:p>
    <w:p w14:paraId="25913C12" w14:textId="77777777" w:rsidR="00D34F3D" w:rsidRPr="00C01028" w:rsidRDefault="00D34F3D" w:rsidP="00D34F3D">
      <w:pPr>
        <w:spacing w:after="0"/>
        <w:jc w:val="both"/>
        <w:rPr>
          <w:rFonts w:cstheme="minorHAnsi"/>
          <w:sz w:val="22"/>
          <w:szCs w:val="22"/>
        </w:rPr>
      </w:pPr>
    </w:p>
    <w:p w14:paraId="5D85F6E9" w14:textId="59AF00BE" w:rsidR="00D34F3D" w:rsidRPr="00C01028" w:rsidRDefault="00D34F3D" w:rsidP="00D34F3D">
      <w:pPr>
        <w:spacing w:after="120"/>
        <w:jc w:val="both"/>
        <w:rPr>
          <w:rFonts w:cstheme="minorHAnsi"/>
          <w:sz w:val="22"/>
          <w:szCs w:val="22"/>
        </w:rPr>
      </w:pPr>
      <w:r w:rsidRPr="00C01028">
        <w:rPr>
          <w:rFonts w:cstheme="minorHAnsi"/>
          <w:b/>
          <w:bCs/>
          <w:color w:val="9B2D1F" w:themeColor="accent2"/>
          <w:sz w:val="22"/>
          <w:szCs w:val="22"/>
        </w:rPr>
        <w:t xml:space="preserve">IMPORTANCIA RELATIVA Y MATERIALIDAD </w:t>
      </w:r>
    </w:p>
    <w:p w14:paraId="0E1848F8" w14:textId="2040986E" w:rsidR="00D34F3D" w:rsidRPr="00C01028" w:rsidRDefault="00D34F3D" w:rsidP="00D34F3D">
      <w:pPr>
        <w:spacing w:after="0"/>
        <w:jc w:val="both"/>
        <w:rPr>
          <w:rFonts w:cstheme="minorHAnsi"/>
          <w:sz w:val="22"/>
          <w:szCs w:val="22"/>
        </w:rPr>
      </w:pPr>
      <w:r w:rsidRPr="00C01028">
        <w:rPr>
          <w:rFonts w:cstheme="minorHAnsi"/>
          <w:sz w:val="22"/>
          <w:szCs w:val="22"/>
        </w:rPr>
        <w:t>La información es material y por ello es relevante, si su omisión o su presentación errónea pueden influir en las decisiones económicas que los usuarios tomen a partir de los estados financieros.</w:t>
      </w:r>
    </w:p>
    <w:p w14:paraId="69246496" w14:textId="0A5FE07E" w:rsidR="00880A84" w:rsidRPr="00C01028" w:rsidRDefault="00880A84" w:rsidP="00D34F3D">
      <w:pPr>
        <w:spacing w:after="0"/>
        <w:jc w:val="both"/>
        <w:rPr>
          <w:rFonts w:cstheme="minorHAnsi"/>
          <w:sz w:val="22"/>
          <w:szCs w:val="22"/>
        </w:rPr>
      </w:pPr>
      <w:r w:rsidRPr="00C01028">
        <w:rPr>
          <w:rFonts w:cstheme="minorHAnsi"/>
          <w:sz w:val="22"/>
          <w:szCs w:val="22"/>
        </w:rPr>
        <w:t>El cálculo de la materialidad se determinó sobre el promedio de los últimos dos años de los activos totales de la compañía o de los ingresos operacionales restando la desviación estándar en un porcentaje del 1% que ha sido determinado por la gerencia de la compañía y corresponde al valor monetario que no afecta la toma de decisiones económicas.</w:t>
      </w:r>
    </w:p>
    <w:p w14:paraId="197481A5" w14:textId="700ECB57" w:rsidR="00D34F3D" w:rsidRPr="00C01028" w:rsidRDefault="00D34F3D" w:rsidP="00D34F3D">
      <w:pPr>
        <w:spacing w:after="0"/>
        <w:jc w:val="both"/>
        <w:rPr>
          <w:rFonts w:cstheme="minorHAnsi"/>
          <w:color w:val="000000" w:themeColor="text1"/>
          <w:sz w:val="22"/>
          <w:szCs w:val="22"/>
        </w:rPr>
      </w:pPr>
    </w:p>
    <w:p w14:paraId="029BBB40" w14:textId="1B33F600" w:rsidR="00880A84" w:rsidRPr="00C01028" w:rsidRDefault="00880A84" w:rsidP="00880A84">
      <w:pPr>
        <w:spacing w:after="120"/>
        <w:jc w:val="both"/>
        <w:rPr>
          <w:rFonts w:cstheme="minorHAnsi"/>
          <w:b/>
          <w:bCs/>
          <w:color w:val="9B2D1F" w:themeColor="accent2"/>
          <w:sz w:val="22"/>
          <w:szCs w:val="22"/>
        </w:rPr>
      </w:pPr>
      <w:r w:rsidRPr="00C01028">
        <w:rPr>
          <w:rFonts w:cstheme="minorHAnsi"/>
          <w:b/>
          <w:bCs/>
          <w:color w:val="9B2D1F" w:themeColor="accent2"/>
          <w:sz w:val="22"/>
          <w:szCs w:val="22"/>
        </w:rPr>
        <w:t>HECHOS ACURRIDOS DEPUES DEL PERIODO SOBRE EL QUE SE INFORMA</w:t>
      </w:r>
    </w:p>
    <w:p w14:paraId="2EBE67EC" w14:textId="77777777" w:rsidR="00880A84" w:rsidRPr="00C01028" w:rsidRDefault="00880A84" w:rsidP="00880A84">
      <w:pPr>
        <w:spacing w:after="120"/>
        <w:jc w:val="both"/>
        <w:rPr>
          <w:rFonts w:cstheme="minorHAnsi"/>
          <w:color w:val="000000" w:themeColor="text1"/>
          <w:sz w:val="22"/>
          <w:szCs w:val="22"/>
        </w:rPr>
      </w:pPr>
      <w:r w:rsidRPr="00C01028">
        <w:rPr>
          <w:rFonts w:cstheme="minorHAnsi"/>
          <w:color w:val="000000" w:themeColor="text1"/>
          <w:sz w:val="22"/>
          <w:szCs w:val="22"/>
        </w:rPr>
        <w:t xml:space="preserve">Son los hechos ocurridos después del periodo sobre que se informa ya sean favorables o desfavorables que se han producido entre el final del periodo que se informa: </w:t>
      </w:r>
    </w:p>
    <w:p w14:paraId="3F0AB93A" w14:textId="77777777" w:rsidR="00880A84" w:rsidRPr="00C01028" w:rsidRDefault="00880A84" w:rsidP="00880A84">
      <w:pPr>
        <w:pStyle w:val="Prrafodelista"/>
        <w:numPr>
          <w:ilvl w:val="0"/>
          <w:numId w:val="7"/>
        </w:numPr>
        <w:spacing w:after="120"/>
        <w:jc w:val="both"/>
        <w:rPr>
          <w:rFonts w:cstheme="minorHAnsi"/>
          <w:color w:val="000000" w:themeColor="text1"/>
          <w:sz w:val="22"/>
          <w:szCs w:val="22"/>
        </w:rPr>
      </w:pPr>
      <w:r w:rsidRPr="00C01028">
        <w:rPr>
          <w:rFonts w:cstheme="minorHAnsi"/>
          <w:color w:val="000000" w:themeColor="text1"/>
          <w:sz w:val="22"/>
          <w:szCs w:val="22"/>
        </w:rPr>
        <w:t xml:space="preserve">Las circunstancias que existan al final del periodo sobre el que se informa, que implique ajuste. </w:t>
      </w:r>
    </w:p>
    <w:p w14:paraId="337128A1" w14:textId="30A037DF" w:rsidR="00880A84" w:rsidRPr="00C01028" w:rsidRDefault="00880A84" w:rsidP="00880A84">
      <w:pPr>
        <w:pStyle w:val="Prrafodelista"/>
        <w:numPr>
          <w:ilvl w:val="0"/>
          <w:numId w:val="7"/>
        </w:numPr>
        <w:spacing w:after="120"/>
        <w:jc w:val="both"/>
        <w:rPr>
          <w:rFonts w:cstheme="minorHAnsi"/>
          <w:color w:val="000000" w:themeColor="text1"/>
          <w:sz w:val="22"/>
          <w:szCs w:val="22"/>
        </w:rPr>
      </w:pPr>
      <w:r w:rsidRPr="00C01028">
        <w:rPr>
          <w:rFonts w:cstheme="minorHAnsi"/>
          <w:color w:val="000000" w:themeColor="text1"/>
          <w:sz w:val="22"/>
          <w:szCs w:val="22"/>
        </w:rPr>
        <w:t>Las circunstancias que han aparecido después del periodo sobre que se informa las cuales no implican ajuste.</w:t>
      </w:r>
    </w:p>
    <w:p w14:paraId="0D8C3BBC" w14:textId="37559B18" w:rsidR="00164E08" w:rsidRDefault="00164E08" w:rsidP="00164E08">
      <w:pPr>
        <w:pStyle w:val="Prrafodelista"/>
        <w:spacing w:after="120"/>
        <w:jc w:val="both"/>
        <w:rPr>
          <w:rFonts w:cstheme="minorHAnsi"/>
          <w:color w:val="000000" w:themeColor="text1"/>
          <w:sz w:val="22"/>
          <w:szCs w:val="22"/>
        </w:rPr>
      </w:pPr>
    </w:p>
    <w:p w14:paraId="6A2BAAA1" w14:textId="283DC432" w:rsidR="00C64262" w:rsidRDefault="00C64262" w:rsidP="00164E08">
      <w:pPr>
        <w:pStyle w:val="Prrafodelista"/>
        <w:spacing w:after="120"/>
        <w:jc w:val="both"/>
        <w:rPr>
          <w:rFonts w:cstheme="minorHAnsi"/>
          <w:color w:val="000000" w:themeColor="text1"/>
          <w:sz w:val="22"/>
          <w:szCs w:val="22"/>
        </w:rPr>
      </w:pPr>
    </w:p>
    <w:p w14:paraId="649C869B" w14:textId="77777777" w:rsidR="00C64262" w:rsidRPr="00C01028" w:rsidRDefault="00C64262" w:rsidP="00164E08">
      <w:pPr>
        <w:pStyle w:val="Prrafodelista"/>
        <w:spacing w:after="120"/>
        <w:jc w:val="both"/>
        <w:rPr>
          <w:rFonts w:cstheme="minorHAnsi"/>
          <w:color w:val="000000" w:themeColor="text1"/>
          <w:sz w:val="22"/>
          <w:szCs w:val="22"/>
        </w:rPr>
      </w:pPr>
    </w:p>
    <w:p w14:paraId="6880B7C9" w14:textId="2162C5F4" w:rsidR="00164E08" w:rsidRPr="00C01028" w:rsidRDefault="00164E08" w:rsidP="00164E08">
      <w:pPr>
        <w:spacing w:after="120"/>
        <w:jc w:val="both"/>
        <w:rPr>
          <w:rFonts w:cstheme="minorHAnsi"/>
          <w:b/>
          <w:bCs/>
          <w:color w:val="9B2D1F" w:themeColor="accent2"/>
          <w:sz w:val="22"/>
          <w:szCs w:val="22"/>
        </w:rPr>
      </w:pPr>
      <w:r w:rsidRPr="00C01028">
        <w:rPr>
          <w:rFonts w:cstheme="minorHAnsi"/>
          <w:b/>
          <w:bCs/>
          <w:color w:val="9B2D1F" w:themeColor="accent2"/>
          <w:sz w:val="22"/>
          <w:szCs w:val="22"/>
        </w:rPr>
        <w:t>PRESENTACIÓN DE LOS ESTADOS FINANCIEROS</w:t>
      </w:r>
    </w:p>
    <w:p w14:paraId="6550F602" w14:textId="19012515" w:rsidR="00164E08" w:rsidRPr="00C01028" w:rsidRDefault="00164E08" w:rsidP="00164E08">
      <w:pPr>
        <w:spacing w:after="0"/>
        <w:jc w:val="both"/>
        <w:rPr>
          <w:rFonts w:cstheme="minorHAnsi"/>
          <w:color w:val="000000" w:themeColor="text1"/>
          <w:sz w:val="22"/>
          <w:szCs w:val="22"/>
        </w:rPr>
      </w:pPr>
      <w:r w:rsidRPr="00C01028">
        <w:rPr>
          <w:rFonts w:cstheme="minorHAnsi"/>
          <w:color w:val="000000" w:themeColor="text1"/>
          <w:sz w:val="22"/>
          <w:szCs w:val="22"/>
        </w:rPr>
        <w:t>Los estados financieros se deben presentar bajo los requerimientos de la NIIF para Pymes, y en todo caso de la manera que presenta la información más relevante y fiable. Los estados financieros bajo norma internacional son:</w:t>
      </w:r>
      <w:r w:rsidRPr="00C01028">
        <w:rPr>
          <w:rFonts w:cstheme="minorHAnsi"/>
          <w:color w:val="000000" w:themeColor="text1"/>
          <w:sz w:val="22"/>
          <w:szCs w:val="22"/>
        </w:rPr>
        <w:cr/>
      </w:r>
    </w:p>
    <w:p w14:paraId="5BABC7D5" w14:textId="6A418B97" w:rsidR="00164E08" w:rsidRPr="00C01028" w:rsidRDefault="00164E08" w:rsidP="00164E08">
      <w:pPr>
        <w:pStyle w:val="Prrafodelista"/>
        <w:numPr>
          <w:ilvl w:val="0"/>
          <w:numId w:val="8"/>
        </w:numPr>
        <w:spacing w:after="120"/>
        <w:jc w:val="both"/>
        <w:rPr>
          <w:rFonts w:cstheme="minorHAnsi"/>
          <w:color w:val="000000" w:themeColor="text1"/>
          <w:sz w:val="22"/>
          <w:szCs w:val="22"/>
        </w:rPr>
      </w:pPr>
      <w:r w:rsidRPr="00C01028">
        <w:rPr>
          <w:rFonts w:cstheme="minorHAnsi"/>
          <w:color w:val="000000" w:themeColor="text1"/>
          <w:sz w:val="22"/>
          <w:szCs w:val="22"/>
        </w:rPr>
        <w:t>Estado de Situación Financiera (Método Corriente y no Corriente o por Método de Solvencia). Nuestra Compañía ha definido presentar dicho estado financiero por el método de corriente y no corriente.</w:t>
      </w:r>
    </w:p>
    <w:p w14:paraId="6F950994" w14:textId="77777777" w:rsidR="00164E08" w:rsidRPr="00C01028" w:rsidRDefault="00164E08" w:rsidP="00164E08">
      <w:pPr>
        <w:pStyle w:val="Prrafodelista"/>
        <w:spacing w:after="120"/>
        <w:jc w:val="both"/>
        <w:rPr>
          <w:rFonts w:cstheme="minorHAnsi"/>
          <w:color w:val="000000" w:themeColor="text1"/>
          <w:sz w:val="22"/>
          <w:szCs w:val="22"/>
        </w:rPr>
      </w:pPr>
    </w:p>
    <w:p w14:paraId="4CBEEFAA" w14:textId="1E88C7A9" w:rsidR="00164E08" w:rsidRPr="00C01028" w:rsidRDefault="00164E08" w:rsidP="00164E08">
      <w:pPr>
        <w:pStyle w:val="Prrafodelista"/>
        <w:numPr>
          <w:ilvl w:val="0"/>
          <w:numId w:val="8"/>
        </w:numPr>
        <w:spacing w:after="0"/>
        <w:jc w:val="both"/>
        <w:rPr>
          <w:rFonts w:cstheme="minorHAnsi"/>
          <w:color w:val="000000" w:themeColor="text1"/>
          <w:sz w:val="22"/>
          <w:szCs w:val="22"/>
        </w:rPr>
      </w:pPr>
      <w:r w:rsidRPr="00C01028">
        <w:rPr>
          <w:rFonts w:cstheme="minorHAnsi"/>
          <w:color w:val="000000" w:themeColor="text1"/>
          <w:sz w:val="22"/>
          <w:szCs w:val="22"/>
        </w:rPr>
        <w:t>Estado Integral de Resultados del periodo (Método de Función o Naturaleza). La Empresa ha definido presentar dicho estado financiero por el método de Función.</w:t>
      </w:r>
    </w:p>
    <w:p w14:paraId="0642B49B" w14:textId="77777777" w:rsidR="00164E08" w:rsidRPr="00C01028" w:rsidRDefault="00164E08" w:rsidP="00164E08">
      <w:pPr>
        <w:pStyle w:val="Prrafodelista"/>
        <w:spacing w:after="0"/>
        <w:jc w:val="both"/>
        <w:rPr>
          <w:rFonts w:cstheme="minorHAnsi"/>
          <w:color w:val="000000" w:themeColor="text1"/>
          <w:sz w:val="22"/>
          <w:szCs w:val="22"/>
        </w:rPr>
      </w:pPr>
    </w:p>
    <w:p w14:paraId="4CB8A045" w14:textId="05E680E9" w:rsidR="00164E08" w:rsidRPr="00C01028" w:rsidRDefault="00164E08" w:rsidP="00164E08">
      <w:pPr>
        <w:pStyle w:val="Prrafodelista"/>
        <w:numPr>
          <w:ilvl w:val="0"/>
          <w:numId w:val="8"/>
        </w:numPr>
        <w:spacing w:after="0"/>
        <w:jc w:val="both"/>
        <w:rPr>
          <w:rFonts w:cstheme="minorHAnsi"/>
          <w:color w:val="000000" w:themeColor="text1"/>
          <w:sz w:val="22"/>
          <w:szCs w:val="22"/>
        </w:rPr>
      </w:pPr>
      <w:r w:rsidRPr="00C01028">
        <w:rPr>
          <w:rFonts w:cstheme="minorHAnsi"/>
          <w:color w:val="000000" w:themeColor="text1"/>
          <w:sz w:val="22"/>
          <w:szCs w:val="22"/>
        </w:rPr>
        <w:t>Estado de Flujos de Efectivo (Método Directo o Indirecto). Nuestra Compañía ha definido presentar dicho estado financiero por el método indirecto.</w:t>
      </w:r>
    </w:p>
    <w:p w14:paraId="76EC1A12" w14:textId="77777777" w:rsidR="00164E08" w:rsidRPr="00C01028" w:rsidRDefault="00164E08" w:rsidP="00164E08">
      <w:pPr>
        <w:pStyle w:val="Prrafodelista"/>
        <w:spacing w:after="0"/>
        <w:jc w:val="both"/>
        <w:rPr>
          <w:rFonts w:cstheme="minorHAnsi"/>
          <w:color w:val="000000" w:themeColor="text1"/>
          <w:sz w:val="22"/>
          <w:szCs w:val="22"/>
        </w:rPr>
      </w:pPr>
    </w:p>
    <w:p w14:paraId="5BF84A54" w14:textId="6328B7CD" w:rsidR="00164E08" w:rsidRPr="00C01028" w:rsidRDefault="00164E08" w:rsidP="00164E08">
      <w:pPr>
        <w:pStyle w:val="Prrafodelista"/>
        <w:numPr>
          <w:ilvl w:val="0"/>
          <w:numId w:val="8"/>
        </w:numPr>
        <w:spacing w:after="0"/>
        <w:jc w:val="both"/>
        <w:rPr>
          <w:rFonts w:cstheme="minorHAnsi"/>
          <w:color w:val="000000" w:themeColor="text1"/>
          <w:sz w:val="22"/>
          <w:szCs w:val="22"/>
        </w:rPr>
      </w:pPr>
      <w:r w:rsidRPr="00C01028">
        <w:rPr>
          <w:rFonts w:cstheme="minorHAnsi"/>
          <w:color w:val="000000" w:themeColor="text1"/>
          <w:sz w:val="22"/>
          <w:szCs w:val="22"/>
        </w:rPr>
        <w:t>Estado de Cambios en el Patrimonio (Método de Resultados y Ganancias Acumuladas o Tradicional). Nuestra Compañía ha definido presentar dicho estado financiero por el método tradicional.</w:t>
      </w:r>
    </w:p>
    <w:p w14:paraId="2C200F1D" w14:textId="77777777" w:rsidR="002F3ACA" w:rsidRPr="00C01028" w:rsidRDefault="002F3ACA" w:rsidP="002F3ACA">
      <w:pPr>
        <w:pStyle w:val="Prrafodelista"/>
        <w:spacing w:after="0"/>
        <w:jc w:val="both"/>
        <w:rPr>
          <w:rFonts w:cstheme="minorHAnsi"/>
          <w:color w:val="000000" w:themeColor="text1"/>
          <w:sz w:val="22"/>
          <w:szCs w:val="22"/>
        </w:rPr>
      </w:pPr>
    </w:p>
    <w:p w14:paraId="77DD7058" w14:textId="78BE9367" w:rsidR="002F3ACA" w:rsidRPr="00C01028" w:rsidRDefault="002F3ACA" w:rsidP="002F3ACA">
      <w:pPr>
        <w:pStyle w:val="Prrafodelista"/>
        <w:numPr>
          <w:ilvl w:val="0"/>
          <w:numId w:val="8"/>
        </w:numPr>
        <w:spacing w:after="0"/>
        <w:jc w:val="both"/>
        <w:rPr>
          <w:rFonts w:cstheme="minorHAnsi"/>
          <w:color w:val="000000" w:themeColor="text1"/>
          <w:sz w:val="22"/>
          <w:szCs w:val="22"/>
        </w:rPr>
      </w:pPr>
      <w:r w:rsidRPr="00C01028">
        <w:rPr>
          <w:rFonts w:cstheme="minorHAnsi"/>
          <w:color w:val="000000" w:themeColor="text1"/>
          <w:sz w:val="22"/>
          <w:szCs w:val="22"/>
        </w:rPr>
        <w:t>Notas a los Estados Financieros. Comprenden un resumen de políticas contables significativas y otra información explicativa.</w:t>
      </w:r>
    </w:p>
    <w:p w14:paraId="4229C4A3" w14:textId="5DF8AB09" w:rsidR="009C6EEE" w:rsidRPr="00C01028" w:rsidRDefault="009C6EEE" w:rsidP="009C6EEE">
      <w:pPr>
        <w:spacing w:after="0"/>
        <w:jc w:val="both"/>
        <w:rPr>
          <w:rFonts w:cstheme="minorHAnsi"/>
          <w:color w:val="000000" w:themeColor="text1"/>
          <w:sz w:val="22"/>
          <w:szCs w:val="22"/>
        </w:rPr>
      </w:pPr>
    </w:p>
    <w:p w14:paraId="5E0C6E88" w14:textId="77777777" w:rsidR="00C64262" w:rsidRDefault="00C64262" w:rsidP="009C6EEE">
      <w:pPr>
        <w:spacing w:after="120"/>
        <w:jc w:val="both"/>
        <w:rPr>
          <w:rFonts w:cstheme="minorHAnsi"/>
          <w:b/>
          <w:bCs/>
          <w:color w:val="9B2D1F" w:themeColor="accent2"/>
          <w:sz w:val="22"/>
          <w:szCs w:val="22"/>
        </w:rPr>
      </w:pPr>
    </w:p>
    <w:p w14:paraId="27C65183" w14:textId="63E4DD58" w:rsidR="009C6EEE" w:rsidRPr="00C01028" w:rsidRDefault="009C6EEE" w:rsidP="009C6EEE">
      <w:pPr>
        <w:spacing w:after="120"/>
        <w:jc w:val="both"/>
        <w:rPr>
          <w:rFonts w:cstheme="minorHAnsi"/>
          <w:b/>
          <w:bCs/>
          <w:color w:val="9B2D1F" w:themeColor="accent2"/>
          <w:sz w:val="22"/>
          <w:szCs w:val="22"/>
        </w:rPr>
      </w:pPr>
      <w:r w:rsidRPr="00C01028">
        <w:rPr>
          <w:rFonts w:cstheme="minorHAnsi"/>
          <w:b/>
          <w:bCs/>
          <w:color w:val="9B2D1F" w:themeColor="accent2"/>
          <w:sz w:val="22"/>
          <w:szCs w:val="22"/>
        </w:rPr>
        <w:t>PROPIEDAD PLANTA Y EQUIPO</w:t>
      </w:r>
    </w:p>
    <w:p w14:paraId="784C67A7" w14:textId="77777777" w:rsidR="009C6EEE" w:rsidRPr="00C01028" w:rsidRDefault="009C6EEE" w:rsidP="009C6EEE">
      <w:pPr>
        <w:spacing w:after="120"/>
        <w:jc w:val="both"/>
        <w:rPr>
          <w:rFonts w:cstheme="minorHAnsi"/>
          <w:b/>
          <w:bCs/>
          <w:color w:val="9B2D1F" w:themeColor="accent2"/>
          <w:sz w:val="22"/>
          <w:szCs w:val="22"/>
        </w:rPr>
      </w:pPr>
    </w:p>
    <w:p w14:paraId="0B5A3BED" w14:textId="2F6370A5" w:rsidR="009C6EEE" w:rsidRPr="00C01028" w:rsidRDefault="009C6EEE" w:rsidP="009C6EEE">
      <w:pPr>
        <w:spacing w:after="120"/>
        <w:jc w:val="both"/>
        <w:rPr>
          <w:rFonts w:cstheme="minorHAnsi"/>
          <w:color w:val="9B2D1F" w:themeColor="accent2"/>
          <w:sz w:val="22"/>
          <w:szCs w:val="22"/>
        </w:rPr>
      </w:pPr>
      <w:r w:rsidRPr="00C01028">
        <w:rPr>
          <w:rFonts w:cstheme="minorHAnsi"/>
          <w:color w:val="9B2D1F" w:themeColor="accent2"/>
          <w:sz w:val="22"/>
          <w:szCs w:val="22"/>
        </w:rPr>
        <w:t>BASE DE MEDICIÓN</w:t>
      </w:r>
    </w:p>
    <w:p w14:paraId="00402C15" w14:textId="1B55B6C4" w:rsidR="009C6EEE" w:rsidRPr="00C01028" w:rsidRDefault="009C6EEE" w:rsidP="009C6EEE">
      <w:pPr>
        <w:spacing w:after="120"/>
        <w:jc w:val="both"/>
        <w:rPr>
          <w:rFonts w:cstheme="minorHAnsi"/>
          <w:sz w:val="22"/>
          <w:szCs w:val="22"/>
        </w:rPr>
      </w:pPr>
      <w:r w:rsidRPr="00C01028">
        <w:rPr>
          <w:rFonts w:cstheme="minorHAnsi"/>
          <w:sz w:val="22"/>
          <w:szCs w:val="22"/>
        </w:rPr>
        <w:t>Las propiedades, planta y equipo se presentan a su costo histórico, menos la depreciación subsiguiente y las perdidas por deterioro, en caso de que existan. Comprenden equipos en montaje, muebles y enseres, equipo de oficina, y equipos de comunicación y cómputo. El costo histórico incluye los desembolsos directamente atribuibles a la adquisición de estas partidas.</w:t>
      </w:r>
    </w:p>
    <w:p w14:paraId="6D7F8F2E" w14:textId="369D0F2A" w:rsidR="009C6EEE" w:rsidRPr="00C01028" w:rsidRDefault="009C6EEE" w:rsidP="009C6EEE">
      <w:pPr>
        <w:spacing w:after="120"/>
        <w:jc w:val="both"/>
        <w:rPr>
          <w:rFonts w:cstheme="minorHAnsi"/>
          <w:color w:val="9B2D1F" w:themeColor="accent2"/>
          <w:sz w:val="22"/>
          <w:szCs w:val="22"/>
        </w:rPr>
      </w:pPr>
      <w:r w:rsidRPr="00C01028">
        <w:rPr>
          <w:rFonts w:cstheme="minorHAnsi"/>
          <w:color w:val="9B2D1F" w:themeColor="accent2"/>
          <w:sz w:val="22"/>
          <w:szCs w:val="22"/>
        </w:rPr>
        <w:t>MÉTODO DE DEPRECIACIÓN</w:t>
      </w:r>
    </w:p>
    <w:p w14:paraId="736D87E4" w14:textId="77777777" w:rsidR="009C6EEE" w:rsidRPr="00C01028" w:rsidRDefault="009C6EEE" w:rsidP="009C6EEE">
      <w:pPr>
        <w:spacing w:after="120"/>
        <w:jc w:val="both"/>
        <w:rPr>
          <w:rFonts w:cstheme="minorHAnsi"/>
          <w:sz w:val="22"/>
          <w:szCs w:val="22"/>
        </w:rPr>
      </w:pPr>
      <w:r w:rsidRPr="00C01028">
        <w:rPr>
          <w:rFonts w:cstheme="minorHAnsi"/>
          <w:sz w:val="22"/>
          <w:szCs w:val="22"/>
        </w:rPr>
        <w:t xml:space="preserve">El método de depreciación aplicado por la entidad, para los activos que se midan al costo, será en línea recta y acorde con la vida económica adoptada para la clasificación respectiva. </w:t>
      </w:r>
    </w:p>
    <w:p w14:paraId="2F120720" w14:textId="77777777" w:rsidR="009C6EEE" w:rsidRPr="00C01028" w:rsidRDefault="009C6EEE" w:rsidP="009C6EEE">
      <w:pPr>
        <w:spacing w:after="120"/>
        <w:jc w:val="both"/>
        <w:rPr>
          <w:rFonts w:cstheme="minorHAnsi"/>
          <w:sz w:val="22"/>
          <w:szCs w:val="22"/>
        </w:rPr>
      </w:pPr>
      <w:r w:rsidRPr="00C01028">
        <w:rPr>
          <w:rFonts w:cstheme="minorHAnsi"/>
          <w:sz w:val="22"/>
          <w:szCs w:val="22"/>
        </w:rPr>
        <w:t xml:space="preserve">El tiempo en que se depreciaran los activos, será la vida útil restante de cada activo. En los eventos en que la vida útil restante del activo y el tiempo que se estime tener el usufructo del inmueble registren diferencia, el tiempo para depreciar el activo respectivo, será el que se estime tener en usufructo. </w:t>
      </w:r>
    </w:p>
    <w:p w14:paraId="425B97CC" w14:textId="61A81BDB" w:rsidR="009C6EEE" w:rsidRPr="00C01028" w:rsidRDefault="009C6EEE" w:rsidP="009C6EEE">
      <w:pPr>
        <w:spacing w:after="120"/>
        <w:jc w:val="both"/>
        <w:rPr>
          <w:rFonts w:cstheme="minorHAnsi"/>
          <w:sz w:val="22"/>
          <w:szCs w:val="22"/>
        </w:rPr>
      </w:pPr>
      <w:r w:rsidRPr="00C01028">
        <w:rPr>
          <w:rFonts w:cstheme="minorHAnsi"/>
          <w:sz w:val="22"/>
          <w:szCs w:val="22"/>
        </w:rPr>
        <w:t>Las estimaciones de vidas útiles de los activos fijos corresponden al tiempo que la entidad considera, generara beneficios futuros y serán revisadas, y ajustadas si es necesario, a final de cada periodo.</w:t>
      </w:r>
    </w:p>
    <w:p w14:paraId="09419A78" w14:textId="5EE1455B" w:rsidR="009C6EEE" w:rsidRPr="00C01028" w:rsidRDefault="009C6EEE" w:rsidP="009C6EEE">
      <w:pPr>
        <w:spacing w:after="120"/>
        <w:jc w:val="both"/>
        <w:rPr>
          <w:rFonts w:cstheme="minorHAnsi"/>
          <w:color w:val="000000" w:themeColor="text1"/>
          <w:sz w:val="22"/>
          <w:szCs w:val="22"/>
        </w:rPr>
      </w:pPr>
      <w:r w:rsidRPr="00C01028">
        <w:rPr>
          <w:rFonts w:cstheme="minorHAnsi"/>
          <w:color w:val="000000" w:themeColor="text1"/>
          <w:sz w:val="22"/>
          <w:szCs w:val="22"/>
        </w:rPr>
        <w:t>Las vidas económicas adoptadas son:</w:t>
      </w:r>
    </w:p>
    <w:p w14:paraId="3B348D56" w14:textId="35C327AD" w:rsidR="009C6EEE" w:rsidRPr="00C01028" w:rsidRDefault="009C6EEE" w:rsidP="009C6EEE">
      <w:pPr>
        <w:spacing w:after="120"/>
        <w:jc w:val="center"/>
        <w:rPr>
          <w:rFonts w:cstheme="minorHAnsi"/>
          <w:color w:val="000000" w:themeColor="text1"/>
          <w:sz w:val="22"/>
          <w:szCs w:val="22"/>
        </w:rPr>
      </w:pPr>
      <w:r w:rsidRPr="00C01028">
        <w:rPr>
          <w:rFonts w:cstheme="minorHAnsi"/>
          <w:noProof/>
          <w:color w:val="000000" w:themeColor="text1"/>
          <w:sz w:val="22"/>
          <w:szCs w:val="22"/>
        </w:rPr>
        <w:drawing>
          <wp:inline distT="0" distB="0" distL="0" distR="0" wp14:anchorId="263C4F02" wp14:editId="72AFD73D">
            <wp:extent cx="3610479" cy="1267002"/>
            <wp:effectExtent l="0" t="0" r="9525" b="952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10479" cy="1267002"/>
                    </a:xfrm>
                    <a:prstGeom prst="rect">
                      <a:avLst/>
                    </a:prstGeom>
                  </pic:spPr>
                </pic:pic>
              </a:graphicData>
            </a:graphic>
          </wp:inline>
        </w:drawing>
      </w:r>
    </w:p>
    <w:p w14:paraId="77BEDC34" w14:textId="77777777" w:rsidR="00C42CA5" w:rsidRDefault="00C42CA5" w:rsidP="009C6EEE">
      <w:pPr>
        <w:spacing w:after="120"/>
        <w:jc w:val="both"/>
        <w:rPr>
          <w:rFonts w:cstheme="minorHAnsi"/>
          <w:b/>
          <w:bCs/>
          <w:color w:val="9B2D1F" w:themeColor="accent2"/>
          <w:sz w:val="22"/>
          <w:szCs w:val="22"/>
        </w:rPr>
      </w:pPr>
    </w:p>
    <w:p w14:paraId="35DA9A88" w14:textId="0787972A" w:rsidR="009C6EEE" w:rsidRPr="00C01028" w:rsidRDefault="000537C5" w:rsidP="009C6EEE">
      <w:pPr>
        <w:spacing w:after="120"/>
        <w:jc w:val="both"/>
        <w:rPr>
          <w:rFonts w:cstheme="minorHAnsi"/>
          <w:b/>
          <w:bCs/>
          <w:color w:val="9B2D1F" w:themeColor="accent2"/>
          <w:sz w:val="22"/>
          <w:szCs w:val="22"/>
        </w:rPr>
      </w:pPr>
      <w:r w:rsidRPr="00C01028">
        <w:rPr>
          <w:rFonts w:cstheme="minorHAnsi"/>
          <w:b/>
          <w:bCs/>
          <w:color w:val="9B2D1F" w:themeColor="accent2"/>
          <w:sz w:val="22"/>
          <w:szCs w:val="22"/>
        </w:rPr>
        <w:lastRenderedPageBreak/>
        <w:t>RECONOCIMIENTO DE INGRESOS</w:t>
      </w:r>
    </w:p>
    <w:p w14:paraId="494A2DCE" w14:textId="77777777" w:rsidR="000537C5" w:rsidRPr="00C01028" w:rsidRDefault="000537C5" w:rsidP="009C6EEE">
      <w:pPr>
        <w:spacing w:after="120"/>
        <w:jc w:val="both"/>
        <w:rPr>
          <w:rFonts w:cstheme="minorHAnsi"/>
          <w:color w:val="000000" w:themeColor="text1"/>
          <w:sz w:val="22"/>
          <w:szCs w:val="22"/>
        </w:rPr>
      </w:pPr>
      <w:r w:rsidRPr="00C01028">
        <w:rPr>
          <w:rFonts w:cstheme="minorHAnsi"/>
          <w:color w:val="000000" w:themeColor="text1"/>
          <w:sz w:val="22"/>
          <w:szCs w:val="22"/>
        </w:rPr>
        <w:t xml:space="preserve">La fundación recibe ingresos operacionales de donaciones de los fundadores de la Fundación, La empresa Mundos Interactivos del Conocimiento, </w:t>
      </w:r>
      <w:proofErr w:type="spellStart"/>
      <w:r w:rsidRPr="00C01028">
        <w:rPr>
          <w:rFonts w:cstheme="minorHAnsi"/>
          <w:color w:val="000000" w:themeColor="text1"/>
          <w:sz w:val="22"/>
          <w:szCs w:val="22"/>
        </w:rPr>
        <w:t>Minci</w:t>
      </w:r>
      <w:proofErr w:type="spellEnd"/>
      <w:r w:rsidRPr="00C01028">
        <w:rPr>
          <w:rFonts w:cstheme="minorHAnsi"/>
          <w:color w:val="000000" w:themeColor="text1"/>
          <w:sz w:val="22"/>
          <w:szCs w:val="22"/>
        </w:rPr>
        <w:t xml:space="preserve"> </w:t>
      </w:r>
      <w:proofErr w:type="spellStart"/>
      <w:r w:rsidRPr="00C01028">
        <w:rPr>
          <w:rFonts w:cstheme="minorHAnsi"/>
          <w:color w:val="000000" w:themeColor="text1"/>
          <w:sz w:val="22"/>
          <w:szCs w:val="22"/>
        </w:rPr>
        <w:t>Ltda</w:t>
      </w:r>
      <w:proofErr w:type="spellEnd"/>
      <w:r w:rsidRPr="00C01028">
        <w:rPr>
          <w:rFonts w:cstheme="minorHAnsi"/>
          <w:color w:val="000000" w:themeColor="text1"/>
          <w:sz w:val="22"/>
          <w:szCs w:val="22"/>
        </w:rPr>
        <w:t xml:space="preserve"> y Julia Esther Hilarión Madariaga, principalmente, los cuales en su mayoría no se están viendo reflejados en los estados financieros en razón a que la Fundación en este momento buscar minimizar los gastos de registro y otros. </w:t>
      </w:r>
    </w:p>
    <w:p w14:paraId="5B195123" w14:textId="77777777" w:rsidR="000537C5" w:rsidRPr="00C01028" w:rsidRDefault="000537C5" w:rsidP="009C6EEE">
      <w:pPr>
        <w:spacing w:after="120"/>
        <w:jc w:val="both"/>
        <w:rPr>
          <w:rFonts w:cstheme="minorHAnsi"/>
          <w:color w:val="000000" w:themeColor="text1"/>
          <w:sz w:val="22"/>
          <w:szCs w:val="22"/>
        </w:rPr>
      </w:pPr>
      <w:r w:rsidRPr="00C01028">
        <w:rPr>
          <w:rFonts w:cstheme="minorHAnsi"/>
          <w:color w:val="000000" w:themeColor="text1"/>
          <w:sz w:val="22"/>
          <w:szCs w:val="22"/>
        </w:rPr>
        <w:t xml:space="preserve">Cualquier beneficio económico que cumpla con la definición de ingreso será reconocido siempre y cuando sea probable y pueda ser medido con fiabilidad. </w:t>
      </w:r>
    </w:p>
    <w:p w14:paraId="76AA2248" w14:textId="0AA1D664" w:rsidR="009C6EEE" w:rsidRPr="00C01028" w:rsidRDefault="000537C5" w:rsidP="009C6EEE">
      <w:pPr>
        <w:spacing w:after="120"/>
        <w:jc w:val="both"/>
        <w:rPr>
          <w:rFonts w:cstheme="minorHAnsi"/>
          <w:color w:val="000000" w:themeColor="text1"/>
          <w:sz w:val="22"/>
          <w:szCs w:val="22"/>
        </w:rPr>
      </w:pPr>
      <w:r w:rsidRPr="00C01028">
        <w:rPr>
          <w:rFonts w:cstheme="minorHAnsi"/>
          <w:color w:val="000000" w:themeColor="text1"/>
          <w:sz w:val="22"/>
          <w:szCs w:val="22"/>
        </w:rPr>
        <w:t>La Compañía medirá los ingresos de actividades ordinarias asociados con la transacción, de acuerdo con el método del porcentaje de terminación, es decir, por referencia al grado de terminación de la transacción al final del período sobre el que se informa siempre y cuando dicha transacción pueda ser medida en forma fiable, es decir:</w:t>
      </w:r>
    </w:p>
    <w:p w14:paraId="5DB5F4ED" w14:textId="2D7B4F41" w:rsidR="00B654FF" w:rsidRPr="00C01028" w:rsidRDefault="00B654FF" w:rsidP="00B654FF">
      <w:pPr>
        <w:pStyle w:val="Prrafodelista"/>
        <w:numPr>
          <w:ilvl w:val="0"/>
          <w:numId w:val="9"/>
        </w:numPr>
        <w:spacing w:after="120"/>
        <w:jc w:val="both"/>
        <w:rPr>
          <w:rFonts w:cstheme="minorHAnsi"/>
          <w:color w:val="000000" w:themeColor="text1"/>
          <w:sz w:val="22"/>
          <w:szCs w:val="22"/>
        </w:rPr>
      </w:pPr>
      <w:r w:rsidRPr="00C01028">
        <w:rPr>
          <w:rFonts w:cstheme="minorHAnsi"/>
          <w:color w:val="000000" w:themeColor="text1"/>
          <w:sz w:val="22"/>
          <w:szCs w:val="22"/>
        </w:rPr>
        <w:t>El importe de los ingresos de actividades ordinarias pueda medirse con fiabilidad.</w:t>
      </w:r>
    </w:p>
    <w:p w14:paraId="2200BE4A" w14:textId="77777777" w:rsidR="00B654FF" w:rsidRPr="00C01028" w:rsidRDefault="00B654FF" w:rsidP="00B654FF">
      <w:pPr>
        <w:pStyle w:val="Prrafodelista"/>
        <w:numPr>
          <w:ilvl w:val="0"/>
          <w:numId w:val="9"/>
        </w:numPr>
        <w:spacing w:after="120"/>
        <w:jc w:val="both"/>
        <w:rPr>
          <w:rFonts w:cstheme="minorHAnsi"/>
          <w:color w:val="000000" w:themeColor="text1"/>
          <w:sz w:val="22"/>
          <w:szCs w:val="22"/>
        </w:rPr>
      </w:pPr>
      <w:r w:rsidRPr="00C01028">
        <w:rPr>
          <w:rFonts w:cstheme="minorHAnsi"/>
          <w:color w:val="000000" w:themeColor="text1"/>
          <w:sz w:val="22"/>
          <w:szCs w:val="22"/>
        </w:rPr>
        <w:t xml:space="preserve">Es probable que la entidad obtenga los beneficios económicos derivados de la transacción. </w:t>
      </w:r>
    </w:p>
    <w:p w14:paraId="7C42A355" w14:textId="77777777" w:rsidR="00B654FF" w:rsidRPr="00C01028" w:rsidRDefault="00B654FF" w:rsidP="00B654FF">
      <w:pPr>
        <w:pStyle w:val="Prrafodelista"/>
        <w:numPr>
          <w:ilvl w:val="0"/>
          <w:numId w:val="9"/>
        </w:numPr>
        <w:spacing w:after="120"/>
        <w:jc w:val="both"/>
        <w:rPr>
          <w:rFonts w:cstheme="minorHAnsi"/>
          <w:color w:val="000000" w:themeColor="text1"/>
          <w:sz w:val="22"/>
          <w:szCs w:val="22"/>
        </w:rPr>
      </w:pPr>
      <w:r w:rsidRPr="00C01028">
        <w:rPr>
          <w:rFonts w:cstheme="minorHAnsi"/>
          <w:color w:val="000000" w:themeColor="text1"/>
          <w:sz w:val="22"/>
          <w:szCs w:val="22"/>
        </w:rPr>
        <w:t xml:space="preserve">El grado de terminación de la transacción, al final del período sobre el que se informa, pueda ser medido con fiabilidad. </w:t>
      </w:r>
    </w:p>
    <w:p w14:paraId="7DAA60C3" w14:textId="62D839C5" w:rsidR="00B654FF" w:rsidRDefault="00B654FF" w:rsidP="00B654FF">
      <w:pPr>
        <w:pStyle w:val="Prrafodelista"/>
        <w:numPr>
          <w:ilvl w:val="0"/>
          <w:numId w:val="9"/>
        </w:numPr>
        <w:spacing w:after="120"/>
        <w:jc w:val="both"/>
        <w:rPr>
          <w:rFonts w:cstheme="minorHAnsi"/>
          <w:color w:val="000000" w:themeColor="text1"/>
          <w:sz w:val="22"/>
          <w:szCs w:val="22"/>
        </w:rPr>
      </w:pPr>
      <w:r w:rsidRPr="00C01028">
        <w:rPr>
          <w:rFonts w:cstheme="minorHAnsi"/>
          <w:color w:val="000000" w:themeColor="text1"/>
          <w:sz w:val="22"/>
          <w:szCs w:val="22"/>
        </w:rPr>
        <w:t xml:space="preserve">Los costos incurridos en la transacción y los costos para </w:t>
      </w:r>
      <w:r w:rsidR="00DC4BDD" w:rsidRPr="00C01028">
        <w:rPr>
          <w:rFonts w:cstheme="minorHAnsi"/>
          <w:color w:val="000000" w:themeColor="text1"/>
          <w:sz w:val="22"/>
          <w:szCs w:val="22"/>
        </w:rPr>
        <w:t>completarla</w:t>
      </w:r>
      <w:r w:rsidRPr="00C01028">
        <w:rPr>
          <w:rFonts w:cstheme="minorHAnsi"/>
          <w:color w:val="000000" w:themeColor="text1"/>
          <w:sz w:val="22"/>
          <w:szCs w:val="22"/>
        </w:rPr>
        <w:t xml:space="preserve"> puedan medirse con fiabilidad.</w:t>
      </w:r>
    </w:p>
    <w:p w14:paraId="7BDA6FF1" w14:textId="06057CAC" w:rsidR="00C64262" w:rsidRDefault="00C64262" w:rsidP="00C64262">
      <w:pPr>
        <w:pStyle w:val="Prrafodelista"/>
        <w:spacing w:after="120"/>
        <w:jc w:val="both"/>
        <w:rPr>
          <w:rFonts w:cstheme="minorHAnsi"/>
          <w:color w:val="000000" w:themeColor="text1"/>
          <w:sz w:val="22"/>
          <w:szCs w:val="22"/>
        </w:rPr>
      </w:pPr>
    </w:p>
    <w:p w14:paraId="2C7A39F7" w14:textId="48CC2231" w:rsidR="00B654FF" w:rsidRPr="00C01028" w:rsidRDefault="00B654FF" w:rsidP="00041816">
      <w:pPr>
        <w:spacing w:after="240"/>
        <w:rPr>
          <w:rFonts w:cstheme="minorHAnsi"/>
          <w:b/>
          <w:bCs/>
          <w:color w:val="D34817" w:themeColor="accent1"/>
          <w:sz w:val="22"/>
          <w:szCs w:val="22"/>
          <w:u w:val="single"/>
        </w:rPr>
      </w:pPr>
      <w:r w:rsidRPr="00C01028">
        <w:rPr>
          <w:rFonts w:cstheme="minorHAnsi"/>
          <w:b/>
          <w:bCs/>
          <w:color w:val="D34817" w:themeColor="accent1"/>
          <w:sz w:val="22"/>
          <w:szCs w:val="22"/>
          <w:u w:val="single"/>
        </w:rPr>
        <w:t>NOTA 3 – EFECTIVO Y EQUIVALENTES AL EFECTIVO</w:t>
      </w:r>
    </w:p>
    <w:p w14:paraId="58A78CF6" w14:textId="77777777" w:rsidR="00B654FF" w:rsidRPr="00C01028" w:rsidRDefault="00B654FF" w:rsidP="00B654FF">
      <w:pPr>
        <w:spacing w:after="120"/>
        <w:jc w:val="both"/>
        <w:rPr>
          <w:rFonts w:cstheme="minorHAnsi"/>
          <w:color w:val="000000" w:themeColor="text1"/>
          <w:sz w:val="22"/>
          <w:szCs w:val="22"/>
        </w:rPr>
      </w:pPr>
      <w:r w:rsidRPr="00C01028">
        <w:rPr>
          <w:rFonts w:cstheme="minorHAnsi"/>
          <w:color w:val="000000" w:themeColor="text1"/>
          <w:sz w:val="22"/>
          <w:szCs w:val="22"/>
        </w:rPr>
        <w:t xml:space="preserve">El efectivo y equivalentes de efectivo incluyen el efectivo disponible, depósitos de libre disponibilidad en bancos, otras inversiones altamente líquidas de corto plazo con vencimientos de tres meses o menos contados a partir de la adquisición del instrumento financiero y sobregiros bancarios. Los sobregiros bancarios se presentan en la cuenta obligaciones financieros corrientes en el estado de situación financiera. </w:t>
      </w:r>
    </w:p>
    <w:p w14:paraId="112287D6" w14:textId="5C6EE3D3" w:rsidR="00B654FF" w:rsidRPr="00C01028" w:rsidRDefault="00B654FF" w:rsidP="00CA57AD">
      <w:pPr>
        <w:spacing w:after="240"/>
        <w:jc w:val="both"/>
        <w:rPr>
          <w:rFonts w:cstheme="minorHAnsi"/>
          <w:color w:val="000000" w:themeColor="text1"/>
          <w:sz w:val="22"/>
          <w:szCs w:val="22"/>
        </w:rPr>
      </w:pPr>
      <w:r w:rsidRPr="00C01028">
        <w:rPr>
          <w:rFonts w:cstheme="minorHAnsi"/>
          <w:color w:val="000000" w:themeColor="text1"/>
          <w:sz w:val="22"/>
          <w:szCs w:val="22"/>
        </w:rPr>
        <w:t>En cuanto al movimiento del efectivo para la Fundación, este comprende los depósitos bancarios que posee la compañía a diciembre 31 de 202</w:t>
      </w:r>
      <w:r w:rsidR="00DC4BDD">
        <w:rPr>
          <w:rFonts w:cstheme="minorHAnsi"/>
          <w:color w:val="000000" w:themeColor="text1"/>
          <w:sz w:val="22"/>
          <w:szCs w:val="22"/>
        </w:rPr>
        <w:t>5</w:t>
      </w:r>
      <w:r w:rsidRPr="00C01028">
        <w:rPr>
          <w:rFonts w:cstheme="minorHAnsi"/>
          <w:color w:val="000000" w:themeColor="text1"/>
          <w:sz w:val="22"/>
          <w:szCs w:val="22"/>
        </w:rPr>
        <w:t>. Los saldos reflejados en esta cuenta representan el efectivo disponible de libre disponibilidad. El grupo está conformado por las siguientes cuentas:</w:t>
      </w:r>
    </w:p>
    <w:p w14:paraId="4EDD3AA3" w14:textId="5568321E" w:rsidR="00041816" w:rsidRPr="00C01028" w:rsidRDefault="00DC4BDD" w:rsidP="00B654FF">
      <w:pPr>
        <w:spacing w:after="120"/>
        <w:jc w:val="both"/>
        <w:rPr>
          <w:rFonts w:cstheme="minorHAnsi"/>
          <w:color w:val="000000" w:themeColor="text1"/>
          <w:sz w:val="22"/>
          <w:szCs w:val="22"/>
        </w:rPr>
      </w:pPr>
      <w:r w:rsidRPr="00DC4BDD">
        <w:rPr>
          <w:rFonts w:cstheme="minorHAnsi"/>
          <w:noProof/>
          <w:color w:val="000000" w:themeColor="text1"/>
          <w:sz w:val="22"/>
          <w:szCs w:val="22"/>
        </w:rPr>
        <w:drawing>
          <wp:inline distT="0" distB="0" distL="0" distR="0" wp14:anchorId="19578BA8" wp14:editId="094432EA">
            <wp:extent cx="5612130" cy="668655"/>
            <wp:effectExtent l="0" t="0" r="762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12130" cy="668655"/>
                    </a:xfrm>
                    <a:prstGeom prst="rect">
                      <a:avLst/>
                    </a:prstGeom>
                  </pic:spPr>
                </pic:pic>
              </a:graphicData>
            </a:graphic>
          </wp:inline>
        </w:drawing>
      </w:r>
    </w:p>
    <w:p w14:paraId="3AAD6783" w14:textId="77777777" w:rsidR="00041816" w:rsidRPr="00C01028" w:rsidRDefault="00041816" w:rsidP="00B654FF">
      <w:pPr>
        <w:spacing w:after="120"/>
        <w:jc w:val="both"/>
        <w:rPr>
          <w:rFonts w:cstheme="minorHAnsi"/>
          <w:color w:val="000000" w:themeColor="text1"/>
          <w:sz w:val="22"/>
          <w:szCs w:val="22"/>
        </w:rPr>
      </w:pPr>
    </w:p>
    <w:p w14:paraId="60A9412E" w14:textId="3C781F3E" w:rsidR="00041816" w:rsidRPr="00C01028" w:rsidRDefault="00041816" w:rsidP="00041816">
      <w:pPr>
        <w:spacing w:after="240"/>
        <w:rPr>
          <w:rFonts w:cstheme="minorHAnsi"/>
          <w:b/>
          <w:bCs/>
          <w:color w:val="D34817" w:themeColor="accent1"/>
          <w:sz w:val="22"/>
          <w:szCs w:val="22"/>
          <w:u w:val="single"/>
        </w:rPr>
      </w:pPr>
      <w:r w:rsidRPr="00C01028">
        <w:rPr>
          <w:rFonts w:cstheme="minorHAnsi"/>
          <w:b/>
          <w:bCs/>
          <w:color w:val="D34817" w:themeColor="accent1"/>
          <w:sz w:val="22"/>
          <w:szCs w:val="22"/>
          <w:u w:val="single"/>
        </w:rPr>
        <w:t>NOTA 4 – INVENTARIOS</w:t>
      </w:r>
    </w:p>
    <w:p w14:paraId="6753541B" w14:textId="2FF27593" w:rsidR="00041816" w:rsidRPr="00C01028" w:rsidRDefault="00041816" w:rsidP="00041816">
      <w:pPr>
        <w:spacing w:after="240"/>
        <w:jc w:val="both"/>
        <w:rPr>
          <w:rFonts w:cstheme="minorHAnsi"/>
          <w:color w:val="000000" w:themeColor="text1"/>
          <w:sz w:val="22"/>
          <w:szCs w:val="22"/>
        </w:rPr>
      </w:pPr>
      <w:r w:rsidRPr="00C01028">
        <w:rPr>
          <w:rFonts w:cstheme="minorHAnsi"/>
          <w:color w:val="000000" w:themeColor="text1"/>
          <w:sz w:val="22"/>
          <w:szCs w:val="22"/>
        </w:rPr>
        <w:t>Las existencias en Inventario se registran al costo de adquisición más los costos incurridos para su disposición final:</w:t>
      </w:r>
    </w:p>
    <w:p w14:paraId="54F6598A" w14:textId="77777777" w:rsidR="00041816" w:rsidRPr="00C01028" w:rsidRDefault="00041816" w:rsidP="00041816">
      <w:pPr>
        <w:spacing w:after="0"/>
        <w:jc w:val="both"/>
        <w:rPr>
          <w:rFonts w:cstheme="minorHAnsi"/>
          <w:sz w:val="22"/>
          <w:szCs w:val="22"/>
        </w:rPr>
      </w:pPr>
      <w:r w:rsidRPr="00C01028">
        <w:rPr>
          <w:rFonts w:ascii="Segoe UI Symbol" w:hAnsi="Segoe UI Symbol" w:cs="Segoe UI Symbol"/>
          <w:sz w:val="22"/>
          <w:szCs w:val="22"/>
        </w:rPr>
        <w:lastRenderedPageBreak/>
        <w:t>✓</w:t>
      </w:r>
      <w:r w:rsidRPr="00C01028">
        <w:rPr>
          <w:rFonts w:cstheme="minorHAnsi"/>
          <w:sz w:val="22"/>
          <w:szCs w:val="22"/>
        </w:rPr>
        <w:t xml:space="preserve"> Costos de Adquisición </w:t>
      </w:r>
    </w:p>
    <w:p w14:paraId="6E8AB71B" w14:textId="77777777" w:rsidR="00041816" w:rsidRPr="00C01028" w:rsidRDefault="00041816" w:rsidP="00041816">
      <w:pPr>
        <w:spacing w:after="0"/>
        <w:jc w:val="both"/>
        <w:rPr>
          <w:rFonts w:cstheme="minorHAnsi"/>
          <w:sz w:val="22"/>
          <w:szCs w:val="22"/>
        </w:rPr>
      </w:pPr>
      <w:r w:rsidRPr="00C01028">
        <w:rPr>
          <w:rFonts w:ascii="Segoe UI Symbol" w:hAnsi="Segoe UI Symbol" w:cs="Segoe UI Symbol"/>
          <w:sz w:val="22"/>
          <w:szCs w:val="22"/>
        </w:rPr>
        <w:t>✓</w:t>
      </w:r>
      <w:r w:rsidRPr="00C01028">
        <w:rPr>
          <w:rFonts w:cstheme="minorHAnsi"/>
          <w:sz w:val="22"/>
          <w:szCs w:val="22"/>
        </w:rPr>
        <w:t xml:space="preserve"> Precio de compra </w:t>
      </w:r>
    </w:p>
    <w:p w14:paraId="3447D8A2" w14:textId="77777777" w:rsidR="00041816" w:rsidRPr="00C01028" w:rsidRDefault="00041816" w:rsidP="00041816">
      <w:pPr>
        <w:spacing w:after="0"/>
        <w:jc w:val="both"/>
        <w:rPr>
          <w:rFonts w:cstheme="minorHAnsi"/>
          <w:sz w:val="22"/>
          <w:szCs w:val="22"/>
        </w:rPr>
      </w:pPr>
      <w:r w:rsidRPr="00C01028">
        <w:rPr>
          <w:rFonts w:ascii="Segoe UI Symbol" w:hAnsi="Segoe UI Symbol" w:cs="Segoe UI Symbol"/>
          <w:sz w:val="22"/>
          <w:szCs w:val="22"/>
        </w:rPr>
        <w:t>✓</w:t>
      </w:r>
      <w:r w:rsidRPr="00C01028">
        <w:rPr>
          <w:rFonts w:cstheme="minorHAnsi"/>
          <w:sz w:val="22"/>
          <w:szCs w:val="22"/>
        </w:rPr>
        <w:t xml:space="preserve"> Aranceles de importación </w:t>
      </w:r>
    </w:p>
    <w:p w14:paraId="363F52C3" w14:textId="77777777" w:rsidR="00041816" w:rsidRPr="00C01028" w:rsidRDefault="00041816" w:rsidP="00041816">
      <w:pPr>
        <w:spacing w:after="0"/>
        <w:jc w:val="both"/>
        <w:rPr>
          <w:rFonts w:cstheme="minorHAnsi"/>
          <w:sz w:val="22"/>
          <w:szCs w:val="22"/>
        </w:rPr>
      </w:pPr>
      <w:r w:rsidRPr="00C01028">
        <w:rPr>
          <w:rFonts w:ascii="Segoe UI Symbol" w:hAnsi="Segoe UI Symbol" w:cs="Segoe UI Symbol"/>
          <w:sz w:val="22"/>
          <w:szCs w:val="22"/>
        </w:rPr>
        <w:t>✓</w:t>
      </w:r>
      <w:r w:rsidRPr="00C01028">
        <w:rPr>
          <w:rFonts w:cstheme="minorHAnsi"/>
          <w:sz w:val="22"/>
          <w:szCs w:val="22"/>
        </w:rPr>
        <w:t xml:space="preserve"> Impuestos no recuperables </w:t>
      </w:r>
    </w:p>
    <w:p w14:paraId="1D6FB6ED" w14:textId="3656D842" w:rsidR="00B654FF" w:rsidRPr="00C01028" w:rsidRDefault="00041816" w:rsidP="00041816">
      <w:pPr>
        <w:spacing w:after="0"/>
        <w:jc w:val="both"/>
        <w:rPr>
          <w:rFonts w:cstheme="minorHAnsi"/>
          <w:sz w:val="22"/>
          <w:szCs w:val="22"/>
        </w:rPr>
      </w:pPr>
      <w:r w:rsidRPr="00C01028">
        <w:rPr>
          <w:rFonts w:ascii="Segoe UI Symbol" w:hAnsi="Segoe UI Symbol" w:cs="Segoe UI Symbol"/>
          <w:sz w:val="22"/>
          <w:szCs w:val="22"/>
        </w:rPr>
        <w:t>✓</w:t>
      </w:r>
      <w:r w:rsidRPr="00C01028">
        <w:rPr>
          <w:rFonts w:cstheme="minorHAnsi"/>
          <w:sz w:val="22"/>
          <w:szCs w:val="22"/>
        </w:rPr>
        <w:t xml:space="preserve"> Transportes</w:t>
      </w:r>
    </w:p>
    <w:p w14:paraId="36EADA2A" w14:textId="77777777" w:rsidR="00041816" w:rsidRPr="00C01028" w:rsidRDefault="00041816" w:rsidP="00041816">
      <w:pPr>
        <w:spacing w:after="0"/>
        <w:jc w:val="both"/>
        <w:rPr>
          <w:rFonts w:cstheme="minorHAnsi"/>
          <w:color w:val="000000" w:themeColor="text1"/>
          <w:sz w:val="22"/>
          <w:szCs w:val="22"/>
        </w:rPr>
      </w:pPr>
      <w:r w:rsidRPr="00C01028">
        <w:rPr>
          <w:rFonts w:ascii="Segoe UI Symbol" w:hAnsi="Segoe UI Symbol" w:cs="Segoe UI Symbol"/>
          <w:color w:val="000000" w:themeColor="text1"/>
          <w:sz w:val="22"/>
          <w:szCs w:val="22"/>
        </w:rPr>
        <w:t>✓</w:t>
      </w:r>
      <w:r w:rsidRPr="00C01028">
        <w:rPr>
          <w:rFonts w:cstheme="minorHAnsi"/>
          <w:color w:val="000000" w:themeColor="text1"/>
          <w:sz w:val="22"/>
          <w:szCs w:val="22"/>
        </w:rPr>
        <w:t xml:space="preserve"> Almacenamiento</w:t>
      </w:r>
    </w:p>
    <w:p w14:paraId="3CB33883" w14:textId="00DA438A" w:rsidR="00041816" w:rsidRPr="00C01028" w:rsidRDefault="00041816" w:rsidP="00041816">
      <w:pPr>
        <w:spacing w:after="0"/>
        <w:jc w:val="both"/>
        <w:rPr>
          <w:rFonts w:cstheme="minorHAnsi"/>
          <w:color w:val="000000" w:themeColor="text1"/>
          <w:sz w:val="22"/>
          <w:szCs w:val="22"/>
        </w:rPr>
      </w:pPr>
      <w:r w:rsidRPr="00C01028">
        <w:rPr>
          <w:rFonts w:ascii="Segoe UI Symbol" w:hAnsi="Segoe UI Symbol" w:cs="Segoe UI Symbol"/>
          <w:color w:val="000000" w:themeColor="text1"/>
          <w:sz w:val="22"/>
          <w:szCs w:val="22"/>
        </w:rPr>
        <w:t>✓</w:t>
      </w:r>
      <w:r w:rsidRPr="00C01028">
        <w:rPr>
          <w:rFonts w:cstheme="minorHAnsi"/>
          <w:color w:val="000000" w:themeColor="text1"/>
          <w:sz w:val="22"/>
          <w:szCs w:val="22"/>
        </w:rPr>
        <w:t xml:space="preserve"> Otros directamente atribuibles a la adquisición de los inventarios, los materiales para su transformación o los servicios inherentes.</w:t>
      </w:r>
      <w:r w:rsidRPr="00C01028">
        <w:rPr>
          <w:rFonts w:cstheme="minorHAnsi"/>
          <w:color w:val="000000" w:themeColor="text1"/>
          <w:sz w:val="22"/>
          <w:szCs w:val="22"/>
        </w:rPr>
        <w:cr/>
      </w:r>
    </w:p>
    <w:p w14:paraId="505DA5BA" w14:textId="715779DF" w:rsidR="00041816" w:rsidRPr="00C01028" w:rsidRDefault="00041816" w:rsidP="00041816">
      <w:pPr>
        <w:spacing w:after="0"/>
        <w:jc w:val="both"/>
        <w:rPr>
          <w:rFonts w:cstheme="minorHAnsi"/>
          <w:color w:val="000000" w:themeColor="text1"/>
          <w:sz w:val="22"/>
          <w:szCs w:val="22"/>
        </w:rPr>
      </w:pPr>
      <w:r w:rsidRPr="00C01028">
        <w:rPr>
          <w:rFonts w:cstheme="minorHAnsi"/>
          <w:color w:val="000000" w:themeColor="text1"/>
          <w:sz w:val="22"/>
          <w:szCs w:val="22"/>
        </w:rPr>
        <w:t>El costo de la mercancía se determina usando el método de promedio ponderado, el valor neto de realización es el valor estimado en el curso de las operaciones. El inventario se registra inicialmente cuando proviene del extranjero se registra en una cuenta de inventario en tránsito y en el momento que se legaliza la importación esta se traslada a la cuenta de mercancías para la venta. El inventario que es comprado a proveedores nacionales es registrado en la cuenta de mercancía para la venta.</w:t>
      </w:r>
    </w:p>
    <w:p w14:paraId="43EB4251" w14:textId="78A7D7B8" w:rsidR="00041816" w:rsidRPr="00C01028" w:rsidRDefault="00041816" w:rsidP="00CA57AD">
      <w:pPr>
        <w:spacing w:after="240"/>
        <w:jc w:val="both"/>
        <w:rPr>
          <w:rFonts w:cstheme="minorHAnsi"/>
          <w:color w:val="000000" w:themeColor="text1"/>
          <w:sz w:val="22"/>
          <w:szCs w:val="22"/>
        </w:rPr>
      </w:pPr>
      <w:r w:rsidRPr="00C01028">
        <w:rPr>
          <w:rFonts w:cstheme="minorHAnsi"/>
          <w:color w:val="000000" w:themeColor="text1"/>
          <w:sz w:val="22"/>
          <w:szCs w:val="22"/>
        </w:rPr>
        <w:t>Este ítem está compuesto por los siguientes rubros:</w:t>
      </w:r>
    </w:p>
    <w:p w14:paraId="5A0BAE7F" w14:textId="5A05AAAE" w:rsidR="002074CF" w:rsidRPr="00C01028" w:rsidRDefault="00DC4BDD" w:rsidP="00CA57AD">
      <w:pPr>
        <w:spacing w:after="240"/>
        <w:jc w:val="both"/>
        <w:rPr>
          <w:rFonts w:cstheme="minorHAnsi"/>
          <w:color w:val="000000" w:themeColor="text1"/>
          <w:sz w:val="22"/>
          <w:szCs w:val="22"/>
        </w:rPr>
      </w:pPr>
      <w:r w:rsidRPr="00DC4BDD">
        <w:rPr>
          <w:rFonts w:cstheme="minorHAnsi"/>
          <w:noProof/>
          <w:color w:val="000000" w:themeColor="text1"/>
          <w:sz w:val="22"/>
          <w:szCs w:val="22"/>
        </w:rPr>
        <w:drawing>
          <wp:inline distT="0" distB="0" distL="0" distR="0" wp14:anchorId="2671C8D4" wp14:editId="48D6BA31">
            <wp:extent cx="5612130" cy="777240"/>
            <wp:effectExtent l="0" t="0" r="7620" b="381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612130" cy="777240"/>
                    </a:xfrm>
                    <a:prstGeom prst="rect">
                      <a:avLst/>
                    </a:prstGeom>
                  </pic:spPr>
                </pic:pic>
              </a:graphicData>
            </a:graphic>
          </wp:inline>
        </w:drawing>
      </w:r>
    </w:p>
    <w:p w14:paraId="1C671DF1" w14:textId="56323346" w:rsidR="002074CF" w:rsidRPr="00C01028" w:rsidRDefault="00E64F12" w:rsidP="00CA57AD">
      <w:pPr>
        <w:spacing w:after="240"/>
        <w:jc w:val="both"/>
        <w:rPr>
          <w:rFonts w:cstheme="minorHAnsi"/>
          <w:b/>
          <w:bCs/>
          <w:color w:val="D34817" w:themeColor="accent1"/>
          <w:sz w:val="22"/>
          <w:szCs w:val="22"/>
          <w:u w:val="single"/>
        </w:rPr>
      </w:pPr>
      <w:bookmarkStart w:id="0" w:name="_Hlk129035026"/>
      <w:r w:rsidRPr="00C01028">
        <w:rPr>
          <w:rFonts w:cstheme="minorHAnsi"/>
          <w:b/>
          <w:bCs/>
          <w:color w:val="D34817" w:themeColor="accent1"/>
          <w:sz w:val="22"/>
          <w:szCs w:val="22"/>
          <w:u w:val="single"/>
        </w:rPr>
        <w:t>NOTA 5 – PROPIEDADES, PLANTA Y EQUIPO</w:t>
      </w:r>
    </w:p>
    <w:bookmarkEnd w:id="0"/>
    <w:p w14:paraId="0C98EDC8" w14:textId="6E5D9FBD" w:rsidR="00E64F12" w:rsidRPr="00C01028" w:rsidRDefault="00E64F12" w:rsidP="00CA57AD">
      <w:pPr>
        <w:spacing w:after="240"/>
        <w:jc w:val="both"/>
        <w:rPr>
          <w:rFonts w:cstheme="minorHAnsi"/>
          <w:color w:val="000000" w:themeColor="text1"/>
          <w:sz w:val="22"/>
          <w:szCs w:val="22"/>
        </w:rPr>
      </w:pPr>
      <w:r w:rsidRPr="00C01028">
        <w:rPr>
          <w:rFonts w:cstheme="minorHAnsi"/>
          <w:color w:val="000000" w:themeColor="text1"/>
          <w:sz w:val="22"/>
          <w:szCs w:val="22"/>
        </w:rPr>
        <w:t xml:space="preserve">Este rubro contiene la Propiedad, Planta </w:t>
      </w:r>
      <w:r w:rsidR="00172131">
        <w:rPr>
          <w:rFonts w:cstheme="minorHAnsi"/>
          <w:color w:val="000000" w:themeColor="text1"/>
          <w:sz w:val="22"/>
          <w:szCs w:val="22"/>
        </w:rPr>
        <w:t>y</w:t>
      </w:r>
      <w:r w:rsidRPr="00C01028">
        <w:rPr>
          <w:rFonts w:cstheme="minorHAnsi"/>
          <w:color w:val="000000" w:themeColor="text1"/>
          <w:sz w:val="22"/>
          <w:szCs w:val="22"/>
        </w:rPr>
        <w:t xml:space="preserve"> Equipo, para el año 202</w:t>
      </w:r>
      <w:r w:rsidR="00DC4BDD">
        <w:rPr>
          <w:rFonts w:cstheme="minorHAnsi"/>
          <w:color w:val="000000" w:themeColor="text1"/>
          <w:sz w:val="22"/>
          <w:szCs w:val="22"/>
        </w:rPr>
        <w:t>5</w:t>
      </w:r>
      <w:r w:rsidRPr="00C01028">
        <w:rPr>
          <w:rFonts w:cstheme="minorHAnsi"/>
          <w:color w:val="000000" w:themeColor="text1"/>
          <w:sz w:val="22"/>
          <w:szCs w:val="22"/>
        </w:rPr>
        <w:t xml:space="preserve"> la fundadora de la Fundación solicitó que estos fueran depreciados con la vida útil de 5 a partir de este año, ya que estos activos todavía prestan un servicio, que están en perfecto estado y que tienen un valor en realización, esta cuenta está comprendida de:</w:t>
      </w:r>
    </w:p>
    <w:p w14:paraId="68024832" w14:textId="4BE644F7" w:rsidR="00CA57AD" w:rsidRDefault="00DC4BDD" w:rsidP="00041816">
      <w:pPr>
        <w:spacing w:after="0"/>
        <w:jc w:val="both"/>
        <w:rPr>
          <w:rFonts w:cstheme="minorHAnsi"/>
          <w:color w:val="000000" w:themeColor="text1"/>
          <w:sz w:val="22"/>
          <w:szCs w:val="22"/>
        </w:rPr>
      </w:pPr>
      <w:r w:rsidRPr="00DC4BDD">
        <w:rPr>
          <w:rFonts w:cstheme="minorHAnsi"/>
          <w:noProof/>
          <w:color w:val="000000" w:themeColor="text1"/>
          <w:sz w:val="22"/>
          <w:szCs w:val="22"/>
        </w:rPr>
        <w:drawing>
          <wp:inline distT="0" distB="0" distL="0" distR="0" wp14:anchorId="5BF09278" wp14:editId="7516FD51">
            <wp:extent cx="5612130" cy="1416685"/>
            <wp:effectExtent l="0" t="0" r="762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612130" cy="1416685"/>
                    </a:xfrm>
                    <a:prstGeom prst="rect">
                      <a:avLst/>
                    </a:prstGeom>
                  </pic:spPr>
                </pic:pic>
              </a:graphicData>
            </a:graphic>
          </wp:inline>
        </w:drawing>
      </w:r>
    </w:p>
    <w:p w14:paraId="516BDBFB" w14:textId="77777777" w:rsidR="00A852A3" w:rsidRDefault="00A852A3" w:rsidP="00041816">
      <w:pPr>
        <w:spacing w:after="0"/>
        <w:jc w:val="both"/>
        <w:rPr>
          <w:rFonts w:cstheme="minorHAnsi"/>
          <w:b/>
          <w:bCs/>
          <w:color w:val="D34817" w:themeColor="accent1"/>
          <w:sz w:val="22"/>
          <w:szCs w:val="22"/>
          <w:u w:val="single"/>
        </w:rPr>
      </w:pPr>
    </w:p>
    <w:p w14:paraId="1C816920" w14:textId="77777777" w:rsidR="006244F0" w:rsidRPr="00C01028" w:rsidRDefault="006244F0" w:rsidP="00041816">
      <w:pPr>
        <w:spacing w:after="0"/>
        <w:jc w:val="both"/>
        <w:rPr>
          <w:rFonts w:cstheme="minorHAnsi"/>
          <w:color w:val="000000" w:themeColor="text1"/>
          <w:sz w:val="22"/>
          <w:szCs w:val="22"/>
        </w:rPr>
      </w:pPr>
      <w:r w:rsidRPr="00C01028">
        <w:rPr>
          <w:rFonts w:cstheme="minorHAnsi"/>
          <w:color w:val="000000" w:themeColor="text1"/>
          <w:sz w:val="22"/>
          <w:szCs w:val="22"/>
        </w:rPr>
        <w:t xml:space="preserve">Adicional a ello también contiene Activo Intangible la Donación de la empresa </w:t>
      </w:r>
      <w:proofErr w:type="spellStart"/>
      <w:r w:rsidRPr="00C01028">
        <w:rPr>
          <w:rFonts w:cstheme="minorHAnsi"/>
          <w:color w:val="000000" w:themeColor="text1"/>
          <w:sz w:val="22"/>
          <w:szCs w:val="22"/>
        </w:rPr>
        <w:t>Minci</w:t>
      </w:r>
      <w:proofErr w:type="spellEnd"/>
      <w:r w:rsidRPr="00C01028">
        <w:rPr>
          <w:rFonts w:cstheme="minorHAnsi"/>
          <w:color w:val="000000" w:themeColor="text1"/>
          <w:sz w:val="22"/>
          <w:szCs w:val="22"/>
        </w:rPr>
        <w:t xml:space="preserve"> LTDA del SOFTWARE, Emprendedores: Crea y Planea tu Negocio y la autorización para replicar su contenido total o parcial en los programas de capacitación y asesoría a emprendedores. </w:t>
      </w:r>
    </w:p>
    <w:p w14:paraId="1B33FC09" w14:textId="28207F94" w:rsidR="006244F0" w:rsidRPr="00C01028" w:rsidRDefault="006244F0" w:rsidP="00041816">
      <w:pPr>
        <w:spacing w:after="0"/>
        <w:jc w:val="both"/>
        <w:rPr>
          <w:rFonts w:cstheme="minorHAnsi"/>
          <w:color w:val="000000" w:themeColor="text1"/>
          <w:sz w:val="22"/>
          <w:szCs w:val="22"/>
        </w:rPr>
      </w:pPr>
      <w:r w:rsidRPr="00C01028">
        <w:rPr>
          <w:rFonts w:cstheme="minorHAnsi"/>
          <w:b/>
          <w:bCs/>
          <w:color w:val="000000" w:themeColor="text1"/>
          <w:sz w:val="22"/>
          <w:szCs w:val="22"/>
        </w:rPr>
        <w:lastRenderedPageBreak/>
        <w:t>NOTA:</w:t>
      </w:r>
      <w:r w:rsidRPr="00C01028">
        <w:rPr>
          <w:rFonts w:cstheme="minorHAnsi"/>
          <w:color w:val="000000" w:themeColor="text1"/>
          <w:sz w:val="22"/>
          <w:szCs w:val="22"/>
        </w:rPr>
        <w:t xml:space="preserve"> Se aclara que la empresa Mundos Interactivos del Conocimiento, MINCI Ltda. es socia de la Fundación, y la empresa se encuentra en proceso de valoración del software, Emprendedores: Crea y Planea tu Negocio, desarrollado por la empresa y que ha sido donado a la Fundación. Por esta razón, una vez se determine la valorización del intangible más conveniente acorde con la inversión realizada y la valoración en el mercado, este dato, será actualizado en los intangibles de la Fundación.</w:t>
      </w:r>
    </w:p>
    <w:p w14:paraId="3C2F7057" w14:textId="4B3A70AA" w:rsidR="006244F0" w:rsidRPr="00C01028" w:rsidRDefault="006244F0" w:rsidP="00041816">
      <w:pPr>
        <w:spacing w:after="0"/>
        <w:jc w:val="both"/>
        <w:rPr>
          <w:rFonts w:cstheme="minorHAnsi"/>
          <w:color w:val="000000" w:themeColor="text1"/>
          <w:sz w:val="22"/>
          <w:szCs w:val="22"/>
        </w:rPr>
      </w:pPr>
      <w:r w:rsidRPr="00C01028">
        <w:rPr>
          <w:rFonts w:cstheme="minorHAnsi"/>
          <w:color w:val="000000" w:themeColor="text1"/>
          <w:sz w:val="22"/>
          <w:szCs w:val="22"/>
        </w:rPr>
        <w:t>Esta cuenta se compone de la siguiente manera:</w:t>
      </w:r>
    </w:p>
    <w:p w14:paraId="40745DAC" w14:textId="77777777" w:rsidR="006244F0" w:rsidRPr="00C01028" w:rsidRDefault="006244F0" w:rsidP="00041816">
      <w:pPr>
        <w:spacing w:after="0"/>
        <w:jc w:val="both"/>
        <w:rPr>
          <w:rFonts w:cstheme="minorHAnsi"/>
          <w:color w:val="000000" w:themeColor="text1"/>
          <w:sz w:val="22"/>
          <w:szCs w:val="22"/>
        </w:rPr>
      </w:pPr>
    </w:p>
    <w:p w14:paraId="3007AE1B" w14:textId="0F85F5F4" w:rsidR="006244F0" w:rsidRPr="00C01028" w:rsidRDefault="00DC4BDD" w:rsidP="00041816">
      <w:pPr>
        <w:spacing w:after="0"/>
        <w:jc w:val="both"/>
        <w:rPr>
          <w:rFonts w:cstheme="minorHAnsi"/>
          <w:color w:val="000000" w:themeColor="text1"/>
          <w:sz w:val="22"/>
          <w:szCs w:val="22"/>
        </w:rPr>
      </w:pPr>
      <w:r w:rsidRPr="00DC4BDD">
        <w:rPr>
          <w:rFonts w:cstheme="minorHAnsi"/>
          <w:noProof/>
          <w:color w:val="000000" w:themeColor="text1"/>
          <w:sz w:val="22"/>
          <w:szCs w:val="22"/>
        </w:rPr>
        <w:drawing>
          <wp:inline distT="0" distB="0" distL="0" distR="0" wp14:anchorId="2139506F" wp14:editId="3683D6E9">
            <wp:extent cx="5612130" cy="1310005"/>
            <wp:effectExtent l="0" t="0" r="7620" b="4445"/>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612130" cy="1310005"/>
                    </a:xfrm>
                    <a:prstGeom prst="rect">
                      <a:avLst/>
                    </a:prstGeom>
                  </pic:spPr>
                </pic:pic>
              </a:graphicData>
            </a:graphic>
          </wp:inline>
        </w:drawing>
      </w:r>
    </w:p>
    <w:p w14:paraId="6739D617" w14:textId="30D722C6" w:rsidR="006244F0" w:rsidRPr="00C01028" w:rsidRDefault="006244F0" w:rsidP="00041816">
      <w:pPr>
        <w:spacing w:after="0"/>
        <w:jc w:val="both"/>
        <w:rPr>
          <w:rFonts w:cstheme="minorHAnsi"/>
          <w:color w:val="000000" w:themeColor="text1"/>
          <w:sz w:val="22"/>
          <w:szCs w:val="22"/>
        </w:rPr>
      </w:pPr>
    </w:p>
    <w:p w14:paraId="485DC76B" w14:textId="2CA53D6A" w:rsidR="006244F0" w:rsidRPr="00C01028" w:rsidRDefault="00CE3C93" w:rsidP="00041816">
      <w:pPr>
        <w:spacing w:after="0"/>
        <w:jc w:val="both"/>
        <w:rPr>
          <w:rFonts w:cstheme="minorHAnsi"/>
          <w:color w:val="000000" w:themeColor="text1"/>
          <w:sz w:val="22"/>
          <w:szCs w:val="22"/>
        </w:rPr>
      </w:pPr>
      <w:r w:rsidRPr="00C01028">
        <w:rPr>
          <w:rFonts w:cstheme="minorHAnsi"/>
          <w:color w:val="000000" w:themeColor="text1"/>
          <w:sz w:val="22"/>
          <w:szCs w:val="22"/>
        </w:rPr>
        <w:t xml:space="preserve">Es importante revelar que las licencias de OFFICE 365 y AZURE, son donaciones de </w:t>
      </w:r>
      <w:proofErr w:type="spellStart"/>
      <w:r w:rsidRPr="00C01028">
        <w:rPr>
          <w:rFonts w:cstheme="minorHAnsi"/>
          <w:color w:val="000000" w:themeColor="text1"/>
          <w:sz w:val="22"/>
          <w:szCs w:val="22"/>
        </w:rPr>
        <w:t>Microsotf</w:t>
      </w:r>
      <w:proofErr w:type="spellEnd"/>
      <w:r w:rsidRPr="00C01028">
        <w:rPr>
          <w:rFonts w:cstheme="minorHAnsi"/>
          <w:color w:val="000000" w:themeColor="text1"/>
          <w:sz w:val="22"/>
          <w:szCs w:val="22"/>
        </w:rPr>
        <w:t xml:space="preserve"> por intermedio de la Corporación de </w:t>
      </w:r>
      <w:proofErr w:type="spellStart"/>
      <w:r w:rsidRPr="00C01028">
        <w:rPr>
          <w:rFonts w:cstheme="minorHAnsi"/>
          <w:color w:val="000000" w:themeColor="text1"/>
          <w:sz w:val="22"/>
          <w:szCs w:val="22"/>
        </w:rPr>
        <w:t>Makaia</w:t>
      </w:r>
      <w:proofErr w:type="spellEnd"/>
      <w:r w:rsidRPr="00C01028">
        <w:rPr>
          <w:rFonts w:cstheme="minorHAnsi"/>
          <w:color w:val="000000" w:themeColor="text1"/>
          <w:sz w:val="22"/>
          <w:szCs w:val="22"/>
        </w:rPr>
        <w:t xml:space="preserve">, las cuales </w:t>
      </w:r>
      <w:r w:rsidR="00DC4BDD">
        <w:rPr>
          <w:rFonts w:cstheme="minorHAnsi"/>
          <w:color w:val="000000" w:themeColor="text1"/>
          <w:sz w:val="22"/>
          <w:szCs w:val="22"/>
        </w:rPr>
        <w:t>se valorizan con valor estimado para</w:t>
      </w:r>
      <w:r w:rsidRPr="00C01028">
        <w:rPr>
          <w:rFonts w:cstheme="minorHAnsi"/>
          <w:color w:val="000000" w:themeColor="text1"/>
          <w:sz w:val="22"/>
          <w:szCs w:val="22"/>
        </w:rPr>
        <w:t xml:space="preserve"> las mismas. (NOTA </w:t>
      </w:r>
      <w:r w:rsidR="009C474E">
        <w:rPr>
          <w:rFonts w:cstheme="minorHAnsi"/>
          <w:color w:val="000000" w:themeColor="text1"/>
          <w:sz w:val="22"/>
          <w:szCs w:val="22"/>
        </w:rPr>
        <w:t>9 y NOTA 10</w:t>
      </w:r>
      <w:r w:rsidRPr="00C01028">
        <w:rPr>
          <w:rFonts w:cstheme="minorHAnsi"/>
          <w:color w:val="000000" w:themeColor="text1"/>
          <w:sz w:val="22"/>
          <w:szCs w:val="22"/>
        </w:rPr>
        <w:t>).</w:t>
      </w:r>
    </w:p>
    <w:p w14:paraId="2C207BA0" w14:textId="77777777" w:rsidR="00172131" w:rsidRDefault="00172131" w:rsidP="00CE3C93">
      <w:pPr>
        <w:spacing w:after="240"/>
        <w:jc w:val="both"/>
        <w:rPr>
          <w:rFonts w:cstheme="minorHAnsi"/>
          <w:b/>
          <w:bCs/>
          <w:color w:val="D34817" w:themeColor="accent1"/>
          <w:sz w:val="22"/>
          <w:szCs w:val="22"/>
          <w:u w:val="single"/>
        </w:rPr>
      </w:pPr>
    </w:p>
    <w:p w14:paraId="6370A5F5" w14:textId="120D87D4" w:rsidR="00CE3C93" w:rsidRPr="00C01028" w:rsidRDefault="00CE3C93" w:rsidP="00CE3C93">
      <w:pPr>
        <w:spacing w:after="240"/>
        <w:jc w:val="both"/>
        <w:rPr>
          <w:rFonts w:cstheme="minorHAnsi"/>
          <w:b/>
          <w:bCs/>
          <w:color w:val="D34817" w:themeColor="accent1"/>
          <w:sz w:val="22"/>
          <w:szCs w:val="22"/>
          <w:u w:val="single"/>
        </w:rPr>
      </w:pPr>
      <w:r w:rsidRPr="00C01028">
        <w:rPr>
          <w:rFonts w:cstheme="minorHAnsi"/>
          <w:b/>
          <w:bCs/>
          <w:color w:val="D34817" w:themeColor="accent1"/>
          <w:sz w:val="22"/>
          <w:szCs w:val="22"/>
          <w:u w:val="single"/>
        </w:rPr>
        <w:t>NOTA 6 – CUENTAS POR PAGAR Y OTRAS</w:t>
      </w:r>
    </w:p>
    <w:p w14:paraId="0397064E" w14:textId="4697D8F6" w:rsidR="00CE3C93" w:rsidRPr="00C01028" w:rsidRDefault="00CE3C93" w:rsidP="00CE3C93">
      <w:pPr>
        <w:spacing w:after="240"/>
        <w:jc w:val="both"/>
        <w:rPr>
          <w:rFonts w:cstheme="minorHAnsi"/>
          <w:color w:val="000000" w:themeColor="text1"/>
          <w:sz w:val="22"/>
          <w:szCs w:val="22"/>
        </w:rPr>
      </w:pPr>
      <w:r w:rsidRPr="00C01028">
        <w:rPr>
          <w:rFonts w:cstheme="minorHAnsi"/>
          <w:color w:val="000000" w:themeColor="text1"/>
          <w:sz w:val="22"/>
          <w:szCs w:val="22"/>
        </w:rPr>
        <w:t>Comprenden las obligaciones adquiridas por la Fundación en el desarrollo de actividades ordinarias. La compañía reconoce las cuentas por pagar por el valor de la transacción, es decir por el valor acordado, si se conceden plazos superiores a los normales, se reconocen por el valor presente de los flujos futuros descontados a la tasa de referencia del mercado para transacciones similares.</w:t>
      </w:r>
      <w:r w:rsidR="005C3ED8" w:rsidRPr="00C01028">
        <w:rPr>
          <w:rFonts w:cstheme="minorHAnsi"/>
          <w:color w:val="000000" w:themeColor="text1"/>
          <w:sz w:val="22"/>
          <w:szCs w:val="22"/>
        </w:rPr>
        <w:t xml:space="preserve"> </w:t>
      </w:r>
    </w:p>
    <w:p w14:paraId="3AA86BD8" w14:textId="03B3E0CD" w:rsidR="005C3ED8" w:rsidRPr="00C01028" w:rsidRDefault="005C3ED8" w:rsidP="005C3ED8">
      <w:pPr>
        <w:spacing w:after="120"/>
        <w:jc w:val="both"/>
        <w:rPr>
          <w:rFonts w:cstheme="minorHAnsi"/>
          <w:color w:val="000000" w:themeColor="text1"/>
          <w:sz w:val="22"/>
          <w:szCs w:val="22"/>
        </w:rPr>
      </w:pPr>
      <w:r w:rsidRPr="00C01028">
        <w:rPr>
          <w:rFonts w:cstheme="minorHAnsi"/>
          <w:b/>
          <w:bCs/>
          <w:color w:val="9B2D1F" w:themeColor="accent2"/>
          <w:sz w:val="22"/>
          <w:szCs w:val="22"/>
        </w:rPr>
        <w:t xml:space="preserve">IMPUESTO DE RENTA Y COMPLEMENTARIOS RÉGIME ESPECIAL </w:t>
      </w:r>
      <w:r w:rsidRPr="00C01028">
        <w:rPr>
          <w:rFonts w:cstheme="minorHAnsi"/>
          <w:color w:val="000000" w:themeColor="text1"/>
          <w:sz w:val="22"/>
          <w:szCs w:val="22"/>
        </w:rPr>
        <w:t>Se aplica a contribuyentes del impuesto sobre la renta que reciben un tratamiento especial en consideración a su naturaleza y al desarrollo de actividades que el Gobierno determina como de interés para la comunidad. (Artículo 19 E.T. y Art. 9 del Decreto 4583 de 2006)</w:t>
      </w:r>
      <w:r w:rsidR="00622EB9" w:rsidRPr="00C01028">
        <w:rPr>
          <w:rFonts w:cstheme="minorHAnsi"/>
          <w:color w:val="000000" w:themeColor="text1"/>
          <w:sz w:val="22"/>
          <w:szCs w:val="22"/>
        </w:rPr>
        <w:t>.</w:t>
      </w:r>
    </w:p>
    <w:p w14:paraId="26C3C2CF" w14:textId="7C2E06A6" w:rsidR="00622EB9" w:rsidRPr="00C01028" w:rsidRDefault="00622EB9" w:rsidP="005C3ED8">
      <w:pPr>
        <w:spacing w:after="120"/>
        <w:jc w:val="both"/>
        <w:rPr>
          <w:rFonts w:cstheme="minorHAnsi"/>
          <w:color w:val="000000" w:themeColor="text1"/>
          <w:sz w:val="22"/>
          <w:szCs w:val="22"/>
        </w:rPr>
      </w:pPr>
      <w:r w:rsidRPr="00C01028">
        <w:rPr>
          <w:rFonts w:cstheme="minorHAnsi"/>
          <w:color w:val="000000" w:themeColor="text1"/>
          <w:sz w:val="22"/>
          <w:szCs w:val="22"/>
        </w:rPr>
        <w:t>De conformidad con lo dispuesto en el artículo 19 del Estatuto Tributario, por el año gravable 202</w:t>
      </w:r>
      <w:r w:rsidR="00110196">
        <w:rPr>
          <w:rFonts w:cstheme="minorHAnsi"/>
          <w:color w:val="000000" w:themeColor="text1"/>
          <w:sz w:val="22"/>
          <w:szCs w:val="22"/>
        </w:rPr>
        <w:t>5</w:t>
      </w:r>
      <w:r w:rsidRPr="00C01028">
        <w:rPr>
          <w:rFonts w:cstheme="minorHAnsi"/>
          <w:color w:val="000000" w:themeColor="text1"/>
          <w:sz w:val="22"/>
          <w:szCs w:val="22"/>
        </w:rPr>
        <w:t xml:space="preserve"> son contribuyentes con régimen tributario especial y deben presentar declaración del impuesto sobre la renta y complementarios:</w:t>
      </w:r>
    </w:p>
    <w:p w14:paraId="35CC26E5" w14:textId="77777777" w:rsidR="00622EB9" w:rsidRPr="00C01028" w:rsidRDefault="00622EB9" w:rsidP="00622EB9">
      <w:pPr>
        <w:pStyle w:val="Prrafodelista"/>
        <w:numPr>
          <w:ilvl w:val="0"/>
          <w:numId w:val="10"/>
        </w:numPr>
        <w:spacing w:after="120"/>
        <w:jc w:val="both"/>
        <w:rPr>
          <w:rFonts w:cstheme="minorHAnsi"/>
          <w:color w:val="000000" w:themeColor="text1"/>
          <w:sz w:val="22"/>
          <w:szCs w:val="22"/>
        </w:rPr>
      </w:pPr>
      <w:r w:rsidRPr="00C01028">
        <w:rPr>
          <w:rFonts w:cstheme="minorHAnsi"/>
          <w:color w:val="000000" w:themeColor="text1"/>
          <w:sz w:val="22"/>
          <w:szCs w:val="22"/>
        </w:rPr>
        <w:t xml:space="preserve">Las corporaciones, fundaciones y asociaciones sin ánimo de lucro, cuyo objeto social principal y recursos estén destinados a las actividades de salud, deporte, educación formal, cultural, investigación científica o tecnológica, ecológica, protección ambiental, o a programas de desarrollo social, que sean de interés general y siempre que sus excedentes sean reinvertidos totalmente en la actividad de su objeto social, con excepción de las contempladas en el artículo 23 del mismo Estatuto. </w:t>
      </w:r>
    </w:p>
    <w:p w14:paraId="476CFF22" w14:textId="797A2757" w:rsidR="00622EB9" w:rsidRPr="00C01028" w:rsidRDefault="00622EB9" w:rsidP="00622EB9">
      <w:pPr>
        <w:pStyle w:val="Prrafodelista"/>
        <w:spacing w:after="120"/>
        <w:jc w:val="both"/>
        <w:rPr>
          <w:rFonts w:cstheme="minorHAnsi"/>
          <w:color w:val="000000" w:themeColor="text1"/>
          <w:sz w:val="22"/>
          <w:szCs w:val="22"/>
        </w:rPr>
      </w:pPr>
      <w:r w:rsidRPr="00C01028">
        <w:rPr>
          <w:rFonts w:cstheme="minorHAnsi"/>
          <w:color w:val="000000" w:themeColor="text1"/>
          <w:sz w:val="22"/>
          <w:szCs w:val="22"/>
        </w:rPr>
        <w:lastRenderedPageBreak/>
        <w:t>- Cuando estas entidades no cumplan las condiciones señaladas, se asimilarán a sociedades limitadas.</w:t>
      </w:r>
    </w:p>
    <w:p w14:paraId="63B607C6" w14:textId="77777777" w:rsidR="00622EB9" w:rsidRPr="00C01028" w:rsidRDefault="00622EB9" w:rsidP="00622EB9">
      <w:pPr>
        <w:pStyle w:val="Prrafodelista"/>
        <w:spacing w:after="120"/>
        <w:jc w:val="both"/>
        <w:rPr>
          <w:rFonts w:cstheme="minorHAnsi"/>
          <w:color w:val="000000" w:themeColor="text1"/>
          <w:sz w:val="22"/>
          <w:szCs w:val="22"/>
        </w:rPr>
      </w:pPr>
    </w:p>
    <w:p w14:paraId="5955187C" w14:textId="2B8F13F2" w:rsidR="00622EB9" w:rsidRPr="00C01028" w:rsidRDefault="00622EB9" w:rsidP="00622EB9">
      <w:pPr>
        <w:pStyle w:val="Prrafodelista"/>
        <w:numPr>
          <w:ilvl w:val="0"/>
          <w:numId w:val="12"/>
        </w:numPr>
        <w:spacing w:after="120"/>
        <w:jc w:val="both"/>
        <w:rPr>
          <w:rFonts w:cstheme="minorHAnsi"/>
          <w:color w:val="000000" w:themeColor="text1"/>
          <w:sz w:val="22"/>
          <w:szCs w:val="22"/>
        </w:rPr>
      </w:pPr>
      <w:r w:rsidRPr="00C01028">
        <w:rPr>
          <w:rFonts w:cstheme="minorHAnsi"/>
          <w:color w:val="000000" w:themeColor="text1"/>
          <w:sz w:val="22"/>
          <w:szCs w:val="22"/>
        </w:rPr>
        <w:t xml:space="preserve">Las personas jurídicas sin ánimo de lucro que realicen actividades de captación y colocación de recursos financieros y se encuentren sometidas a la vigilancia de la Superintendencia Financiera de Colombia. </w:t>
      </w:r>
    </w:p>
    <w:p w14:paraId="2AFD0488" w14:textId="77777777" w:rsidR="00622EB9" w:rsidRPr="00C01028" w:rsidRDefault="00622EB9" w:rsidP="00622EB9">
      <w:pPr>
        <w:pStyle w:val="Prrafodelista"/>
        <w:spacing w:after="120"/>
        <w:jc w:val="both"/>
        <w:rPr>
          <w:rFonts w:cstheme="minorHAnsi"/>
          <w:color w:val="000000" w:themeColor="text1"/>
          <w:sz w:val="22"/>
          <w:szCs w:val="22"/>
        </w:rPr>
      </w:pPr>
    </w:p>
    <w:p w14:paraId="309939EB" w14:textId="47A3922C" w:rsidR="00622EB9" w:rsidRPr="00C01028" w:rsidRDefault="00622EB9" w:rsidP="00622EB9">
      <w:pPr>
        <w:pStyle w:val="Prrafodelista"/>
        <w:numPr>
          <w:ilvl w:val="0"/>
          <w:numId w:val="12"/>
        </w:numPr>
        <w:spacing w:after="120"/>
        <w:jc w:val="both"/>
        <w:rPr>
          <w:rFonts w:cstheme="minorHAnsi"/>
          <w:color w:val="000000" w:themeColor="text1"/>
          <w:sz w:val="22"/>
          <w:szCs w:val="22"/>
        </w:rPr>
      </w:pPr>
      <w:r w:rsidRPr="00C01028">
        <w:rPr>
          <w:rFonts w:cstheme="minorHAnsi"/>
          <w:color w:val="000000" w:themeColor="text1"/>
          <w:sz w:val="22"/>
          <w:szCs w:val="22"/>
        </w:rPr>
        <w:t xml:space="preserve">Los fondos mutuos de inversión y las asociaciones gremiales respecto de sus actividades industriales y de mercadeo. </w:t>
      </w:r>
    </w:p>
    <w:p w14:paraId="692B87BC" w14:textId="77777777" w:rsidR="00622EB9" w:rsidRPr="00C01028" w:rsidRDefault="00622EB9" w:rsidP="00622EB9">
      <w:pPr>
        <w:pStyle w:val="Prrafodelista"/>
        <w:spacing w:after="120"/>
        <w:jc w:val="both"/>
        <w:rPr>
          <w:rFonts w:cstheme="minorHAnsi"/>
          <w:color w:val="000000" w:themeColor="text1"/>
          <w:sz w:val="22"/>
          <w:szCs w:val="22"/>
        </w:rPr>
      </w:pPr>
    </w:p>
    <w:p w14:paraId="014FC34B" w14:textId="117FA332" w:rsidR="00622EB9" w:rsidRPr="00C01028" w:rsidRDefault="00622EB9" w:rsidP="00622EB9">
      <w:pPr>
        <w:pStyle w:val="Prrafodelista"/>
        <w:numPr>
          <w:ilvl w:val="0"/>
          <w:numId w:val="12"/>
        </w:numPr>
        <w:spacing w:after="120"/>
        <w:jc w:val="both"/>
        <w:rPr>
          <w:rFonts w:cstheme="minorHAnsi"/>
          <w:color w:val="000000" w:themeColor="text1"/>
          <w:sz w:val="22"/>
          <w:szCs w:val="22"/>
        </w:rPr>
      </w:pPr>
      <w:r w:rsidRPr="00C01028">
        <w:rPr>
          <w:rFonts w:cstheme="minorHAnsi"/>
          <w:color w:val="000000" w:themeColor="text1"/>
          <w:sz w:val="22"/>
          <w:szCs w:val="22"/>
        </w:rPr>
        <w:t>Las cooperativas, sus asociaciones, uniones, ligas centrales, organismos de grado superior de carácter financiero, las asociaciones mutualistas, instituciones auxiliares del cooperativismo y confederaciones cooperativas previstas en la legislación cooperativa.</w:t>
      </w:r>
    </w:p>
    <w:p w14:paraId="68A47A8C" w14:textId="77777777" w:rsidR="00622EB9" w:rsidRPr="00C01028" w:rsidRDefault="00622EB9" w:rsidP="00622EB9">
      <w:pPr>
        <w:pStyle w:val="Prrafodelista"/>
        <w:spacing w:after="120"/>
        <w:jc w:val="both"/>
        <w:rPr>
          <w:rFonts w:cstheme="minorHAnsi"/>
          <w:color w:val="000000" w:themeColor="text1"/>
          <w:sz w:val="22"/>
          <w:szCs w:val="22"/>
        </w:rPr>
      </w:pPr>
    </w:p>
    <w:p w14:paraId="028C5129" w14:textId="1B6BAD3F" w:rsidR="00622EB9" w:rsidRPr="00C01028" w:rsidRDefault="00622EB9" w:rsidP="00622EB9">
      <w:pPr>
        <w:pStyle w:val="Prrafodelista"/>
        <w:numPr>
          <w:ilvl w:val="0"/>
          <w:numId w:val="12"/>
        </w:numPr>
        <w:spacing w:after="120"/>
        <w:jc w:val="both"/>
        <w:rPr>
          <w:rFonts w:cstheme="minorHAnsi"/>
          <w:color w:val="000000" w:themeColor="text1"/>
          <w:sz w:val="22"/>
          <w:szCs w:val="22"/>
        </w:rPr>
      </w:pPr>
      <w:r w:rsidRPr="00C01028">
        <w:rPr>
          <w:rFonts w:cstheme="minorHAnsi"/>
          <w:color w:val="000000" w:themeColor="text1"/>
          <w:sz w:val="22"/>
          <w:szCs w:val="22"/>
        </w:rPr>
        <w:t>El Fondo de Garantías de Entidades Cooperativas, según lo previsto en el artículo 108 de la Ley 795 de 2003</w:t>
      </w:r>
      <w:r w:rsidR="00EC7C17" w:rsidRPr="00C01028">
        <w:rPr>
          <w:rFonts w:cstheme="minorHAnsi"/>
          <w:color w:val="000000" w:themeColor="text1"/>
          <w:sz w:val="22"/>
          <w:szCs w:val="22"/>
        </w:rPr>
        <w:t>.</w:t>
      </w:r>
    </w:p>
    <w:p w14:paraId="0CE1FD97" w14:textId="4B1F9101" w:rsidR="00EC7C17" w:rsidRPr="00C01028" w:rsidRDefault="00EC7C17" w:rsidP="00EC7C17">
      <w:pPr>
        <w:spacing w:after="120"/>
        <w:jc w:val="both"/>
        <w:rPr>
          <w:rFonts w:cstheme="minorHAnsi"/>
          <w:color w:val="000000" w:themeColor="text1"/>
          <w:sz w:val="22"/>
          <w:szCs w:val="22"/>
          <w:vertAlign w:val="superscript"/>
        </w:rPr>
      </w:pPr>
      <w:r w:rsidRPr="00C01028">
        <w:rPr>
          <w:rFonts w:cstheme="minorHAnsi"/>
          <w:b/>
          <w:bCs/>
          <w:color w:val="000000" w:themeColor="text1"/>
          <w:sz w:val="22"/>
          <w:szCs w:val="22"/>
        </w:rPr>
        <w:t>Parágrafo.</w:t>
      </w:r>
      <w:r w:rsidRPr="00C01028">
        <w:rPr>
          <w:rFonts w:cstheme="minorHAnsi"/>
          <w:color w:val="000000" w:themeColor="text1"/>
          <w:sz w:val="22"/>
          <w:szCs w:val="22"/>
        </w:rPr>
        <w:t xml:space="preserve"> Las entidades del régimen tributario especial no requieren la calificación del Comité de Entidades Sin Ánimo de Lucro, para gozar de la exención del beneficio neto o excedente consagrado en la Ley.</w:t>
      </w:r>
      <w:r w:rsidRPr="00C01028">
        <w:rPr>
          <w:rFonts w:cstheme="minorHAnsi"/>
          <w:color w:val="000000" w:themeColor="text1"/>
          <w:sz w:val="22"/>
          <w:szCs w:val="22"/>
          <w:vertAlign w:val="superscript"/>
        </w:rPr>
        <w:t>1</w:t>
      </w:r>
    </w:p>
    <w:p w14:paraId="74424EA7" w14:textId="6CD7039C" w:rsidR="00EC7C17" w:rsidRPr="00C01028" w:rsidRDefault="00EC7C17" w:rsidP="00EC7C17">
      <w:pPr>
        <w:spacing w:after="0"/>
        <w:rPr>
          <w:rFonts w:cstheme="minorHAnsi"/>
          <w:color w:val="000000" w:themeColor="text1"/>
          <w:sz w:val="22"/>
          <w:szCs w:val="22"/>
        </w:rPr>
      </w:pPr>
      <w:r w:rsidRPr="00C01028">
        <w:rPr>
          <w:rFonts w:cstheme="minorHAnsi"/>
          <w:color w:val="000000" w:themeColor="text1"/>
          <w:sz w:val="22"/>
          <w:szCs w:val="22"/>
          <w:u w:val="single"/>
          <w:vertAlign w:val="superscript"/>
        </w:rPr>
        <w:t>1</w:t>
      </w:r>
      <w:r w:rsidRPr="00C01028">
        <w:rPr>
          <w:rFonts w:cstheme="minorHAnsi"/>
          <w:color w:val="000000" w:themeColor="text1"/>
          <w:sz w:val="22"/>
          <w:szCs w:val="22"/>
          <w:u w:val="single"/>
        </w:rPr>
        <w:t>Tomado de</w:t>
      </w:r>
      <w:r w:rsidRPr="00C01028">
        <w:rPr>
          <w:rFonts w:cstheme="minorHAnsi"/>
          <w:color w:val="000000" w:themeColor="text1"/>
          <w:sz w:val="22"/>
          <w:szCs w:val="22"/>
        </w:rPr>
        <w:t xml:space="preserve"> </w:t>
      </w:r>
      <w:hyperlink r:id="rId16" w:history="1">
        <w:r w:rsidRPr="00C01028">
          <w:rPr>
            <w:rStyle w:val="Hipervnculo"/>
            <w:rFonts w:cstheme="minorHAnsi"/>
            <w:sz w:val="22"/>
            <w:szCs w:val="22"/>
          </w:rPr>
          <w:t>https://www.dian.gov.co/descargas/ayuda/guia_rut/content/Responsabilidades1.htm</w:t>
        </w:r>
      </w:hyperlink>
      <w:r w:rsidRPr="00C01028">
        <w:rPr>
          <w:rFonts w:cstheme="minorHAnsi"/>
          <w:color w:val="000000" w:themeColor="text1"/>
          <w:sz w:val="22"/>
          <w:szCs w:val="22"/>
        </w:rPr>
        <w:t xml:space="preserve"> </w:t>
      </w:r>
    </w:p>
    <w:p w14:paraId="5E441F14" w14:textId="77777777" w:rsidR="00622EB9" w:rsidRPr="00C01028" w:rsidRDefault="00622EB9" w:rsidP="00622EB9">
      <w:pPr>
        <w:spacing w:after="120"/>
        <w:jc w:val="both"/>
        <w:rPr>
          <w:rFonts w:cstheme="minorHAnsi"/>
          <w:color w:val="000000" w:themeColor="text1"/>
          <w:sz w:val="22"/>
          <w:szCs w:val="22"/>
        </w:rPr>
      </w:pPr>
    </w:p>
    <w:p w14:paraId="28176094" w14:textId="00409101" w:rsidR="00301077" w:rsidRPr="00C01028" w:rsidRDefault="00301077" w:rsidP="00301077">
      <w:pPr>
        <w:spacing w:after="240"/>
        <w:jc w:val="both"/>
        <w:rPr>
          <w:rFonts w:cstheme="minorHAnsi"/>
          <w:b/>
          <w:bCs/>
          <w:color w:val="D34817" w:themeColor="accent1"/>
          <w:sz w:val="22"/>
          <w:szCs w:val="22"/>
          <w:u w:val="single"/>
        </w:rPr>
      </w:pPr>
      <w:r w:rsidRPr="00C01028">
        <w:rPr>
          <w:rFonts w:cstheme="minorHAnsi"/>
          <w:b/>
          <w:bCs/>
          <w:color w:val="D34817" w:themeColor="accent1"/>
          <w:sz w:val="22"/>
          <w:szCs w:val="22"/>
          <w:u w:val="single"/>
        </w:rPr>
        <w:t>NOTA 7 – PATRIMONIO</w:t>
      </w:r>
    </w:p>
    <w:p w14:paraId="18D804DD" w14:textId="77777777" w:rsidR="00301077" w:rsidRPr="00C01028" w:rsidRDefault="00301077" w:rsidP="00301077">
      <w:pPr>
        <w:spacing w:after="240"/>
        <w:jc w:val="both"/>
        <w:rPr>
          <w:rFonts w:cstheme="minorHAnsi"/>
          <w:color w:val="000000" w:themeColor="text1"/>
          <w:sz w:val="22"/>
          <w:szCs w:val="22"/>
        </w:rPr>
      </w:pPr>
      <w:r w:rsidRPr="00C01028">
        <w:rPr>
          <w:rFonts w:cstheme="minorHAnsi"/>
          <w:color w:val="000000" w:themeColor="text1"/>
          <w:sz w:val="22"/>
          <w:szCs w:val="22"/>
        </w:rPr>
        <w:t xml:space="preserve">La Fundación MINCI, se crea mediante documento privado el 08 de septiembre de 2004, como una entidad sin ánimo de lucro. El objeto de la Fundación MINCI es la formación de redes sociales de emprendimiento; busca promover la consolidación de empresas motor que integren pequeños productores en mercados calificados; resta servicios integrados de información, comunicación, asesoría y consultoría. </w:t>
      </w:r>
    </w:p>
    <w:p w14:paraId="48078C02" w14:textId="0A60323D" w:rsidR="00301077" w:rsidRPr="00C01028" w:rsidRDefault="00301077" w:rsidP="00301077">
      <w:pPr>
        <w:spacing w:after="240"/>
        <w:jc w:val="both"/>
        <w:rPr>
          <w:rFonts w:cstheme="minorHAnsi"/>
          <w:color w:val="000000" w:themeColor="text1"/>
          <w:sz w:val="22"/>
          <w:szCs w:val="22"/>
        </w:rPr>
      </w:pPr>
      <w:r w:rsidRPr="00C01028">
        <w:rPr>
          <w:rFonts w:cstheme="minorHAnsi"/>
          <w:color w:val="000000" w:themeColor="text1"/>
          <w:sz w:val="22"/>
          <w:szCs w:val="22"/>
        </w:rPr>
        <w:t>El patrimonio de la Fundación fue afectado por el resultado del ejercicio durante el año 202</w:t>
      </w:r>
      <w:r w:rsidR="00110196">
        <w:rPr>
          <w:rFonts w:cstheme="minorHAnsi"/>
          <w:color w:val="000000" w:themeColor="text1"/>
          <w:sz w:val="22"/>
          <w:szCs w:val="22"/>
        </w:rPr>
        <w:t>5</w:t>
      </w:r>
      <w:r w:rsidRPr="00C01028">
        <w:rPr>
          <w:rFonts w:cstheme="minorHAnsi"/>
          <w:color w:val="000000" w:themeColor="text1"/>
          <w:sz w:val="22"/>
          <w:szCs w:val="22"/>
        </w:rPr>
        <w:t xml:space="preserve"> (NOTA 5), por la depreciación de los activos fijos discriminados así:</w:t>
      </w:r>
    </w:p>
    <w:p w14:paraId="72B726FA" w14:textId="38141205" w:rsidR="000F29AB" w:rsidRPr="00C01028" w:rsidRDefault="00DC4BDD" w:rsidP="00301077">
      <w:pPr>
        <w:spacing w:after="240"/>
        <w:jc w:val="both"/>
        <w:rPr>
          <w:rFonts w:cstheme="minorHAnsi"/>
          <w:color w:val="000000" w:themeColor="text1"/>
          <w:sz w:val="22"/>
          <w:szCs w:val="22"/>
        </w:rPr>
      </w:pPr>
      <w:r w:rsidRPr="00DC4BDD">
        <w:rPr>
          <w:rFonts w:cstheme="minorHAnsi"/>
          <w:noProof/>
          <w:color w:val="000000" w:themeColor="text1"/>
          <w:sz w:val="22"/>
          <w:szCs w:val="22"/>
        </w:rPr>
        <w:drawing>
          <wp:inline distT="0" distB="0" distL="0" distR="0" wp14:anchorId="750412DF" wp14:editId="721C2856">
            <wp:extent cx="5612130" cy="1576070"/>
            <wp:effectExtent l="0" t="0" r="7620" b="508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5612130" cy="1576070"/>
                    </a:xfrm>
                    <a:prstGeom prst="rect">
                      <a:avLst/>
                    </a:prstGeom>
                  </pic:spPr>
                </pic:pic>
              </a:graphicData>
            </a:graphic>
          </wp:inline>
        </w:drawing>
      </w:r>
    </w:p>
    <w:p w14:paraId="6DFF7067" w14:textId="77777777" w:rsidR="0044056A" w:rsidRDefault="0044056A" w:rsidP="0044056A">
      <w:pPr>
        <w:spacing w:after="0"/>
        <w:jc w:val="both"/>
        <w:rPr>
          <w:rFonts w:cstheme="minorHAnsi"/>
          <w:b/>
          <w:bCs/>
          <w:color w:val="D34817" w:themeColor="accent1"/>
          <w:sz w:val="22"/>
          <w:szCs w:val="22"/>
          <w:u w:val="single"/>
        </w:rPr>
      </w:pPr>
    </w:p>
    <w:p w14:paraId="6CE42823" w14:textId="70459834" w:rsidR="0044056A" w:rsidRPr="00C01028" w:rsidRDefault="0044056A" w:rsidP="00301077">
      <w:pPr>
        <w:spacing w:after="240"/>
        <w:jc w:val="both"/>
        <w:rPr>
          <w:rFonts w:cstheme="minorHAnsi"/>
          <w:b/>
          <w:bCs/>
          <w:color w:val="D34817" w:themeColor="accent1"/>
          <w:sz w:val="22"/>
          <w:szCs w:val="22"/>
          <w:u w:val="single"/>
        </w:rPr>
      </w:pPr>
      <w:r w:rsidRPr="00C01028">
        <w:rPr>
          <w:rFonts w:cstheme="minorHAnsi"/>
          <w:b/>
          <w:bCs/>
          <w:color w:val="D34817" w:themeColor="accent1"/>
          <w:sz w:val="22"/>
          <w:szCs w:val="22"/>
          <w:u w:val="single"/>
        </w:rPr>
        <w:t>NOTA 8 – RESULTADO DEL EJERCICIO</w:t>
      </w:r>
    </w:p>
    <w:p w14:paraId="38ED07E4" w14:textId="5AE46382" w:rsidR="0044056A" w:rsidRPr="00C01028" w:rsidRDefault="0044056A" w:rsidP="00301077">
      <w:pPr>
        <w:spacing w:after="240"/>
        <w:jc w:val="both"/>
        <w:rPr>
          <w:rFonts w:cstheme="minorHAnsi"/>
          <w:color w:val="000000" w:themeColor="text1"/>
          <w:sz w:val="22"/>
          <w:szCs w:val="22"/>
        </w:rPr>
      </w:pPr>
      <w:r w:rsidRPr="00C01028">
        <w:rPr>
          <w:rFonts w:cstheme="minorHAnsi"/>
          <w:color w:val="000000" w:themeColor="text1"/>
          <w:sz w:val="22"/>
          <w:szCs w:val="22"/>
        </w:rPr>
        <w:t>Durante la presente vigencia se refleja pérdida del ejercicio discriminado así:</w:t>
      </w:r>
    </w:p>
    <w:p w14:paraId="06CA49F9" w14:textId="7BC7AAAF" w:rsidR="0044056A" w:rsidRDefault="00DC4BDD" w:rsidP="000D4980">
      <w:pPr>
        <w:spacing w:after="240"/>
        <w:jc w:val="center"/>
        <w:rPr>
          <w:rFonts w:cstheme="minorHAnsi"/>
          <w:color w:val="000000" w:themeColor="text1"/>
          <w:sz w:val="22"/>
          <w:szCs w:val="22"/>
        </w:rPr>
      </w:pPr>
      <w:r w:rsidRPr="00DC4BDD">
        <w:rPr>
          <w:rFonts w:cstheme="minorHAnsi"/>
          <w:noProof/>
          <w:color w:val="000000" w:themeColor="text1"/>
          <w:sz w:val="22"/>
          <w:szCs w:val="22"/>
        </w:rPr>
        <w:drawing>
          <wp:inline distT="0" distB="0" distL="0" distR="0" wp14:anchorId="35EBEBE5" wp14:editId="36C56E75">
            <wp:extent cx="4363059" cy="943107"/>
            <wp:effectExtent l="0" t="0" r="0" b="9525"/>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363059" cy="943107"/>
                    </a:xfrm>
                    <a:prstGeom prst="rect">
                      <a:avLst/>
                    </a:prstGeom>
                  </pic:spPr>
                </pic:pic>
              </a:graphicData>
            </a:graphic>
          </wp:inline>
        </w:drawing>
      </w:r>
    </w:p>
    <w:p w14:paraId="0B003466" w14:textId="2D64D73C" w:rsidR="006A0A16" w:rsidRPr="00C01028" w:rsidRDefault="00857102" w:rsidP="00857102">
      <w:pPr>
        <w:spacing w:after="240"/>
        <w:rPr>
          <w:rFonts w:cstheme="minorHAnsi"/>
          <w:color w:val="000000" w:themeColor="text1"/>
          <w:sz w:val="22"/>
          <w:szCs w:val="22"/>
        </w:rPr>
      </w:pPr>
      <w:r>
        <w:rPr>
          <w:rFonts w:cstheme="minorHAnsi"/>
          <w:color w:val="000000" w:themeColor="text1"/>
          <w:sz w:val="22"/>
          <w:szCs w:val="22"/>
        </w:rPr>
        <w:t xml:space="preserve">Esta </w:t>
      </w:r>
      <w:r w:rsidR="001A33FE">
        <w:rPr>
          <w:rFonts w:cstheme="minorHAnsi"/>
          <w:color w:val="000000" w:themeColor="text1"/>
          <w:sz w:val="22"/>
          <w:szCs w:val="22"/>
        </w:rPr>
        <w:t>pérdida</w:t>
      </w:r>
      <w:r>
        <w:rPr>
          <w:rFonts w:cstheme="minorHAnsi"/>
          <w:color w:val="000000" w:themeColor="text1"/>
          <w:sz w:val="22"/>
          <w:szCs w:val="22"/>
        </w:rPr>
        <w:t xml:space="preserve"> se debe a las depreciaciones realizadas de los activos fijos. </w:t>
      </w:r>
    </w:p>
    <w:p w14:paraId="034BC379" w14:textId="605F786D" w:rsidR="006A0A16" w:rsidRPr="00C01028" w:rsidRDefault="006A0A16" w:rsidP="006A0A16">
      <w:pPr>
        <w:spacing w:after="240"/>
        <w:jc w:val="both"/>
        <w:rPr>
          <w:rFonts w:cstheme="minorHAnsi"/>
          <w:b/>
          <w:bCs/>
          <w:color w:val="D34817" w:themeColor="accent1"/>
          <w:sz w:val="22"/>
          <w:szCs w:val="22"/>
          <w:u w:val="single"/>
        </w:rPr>
      </w:pPr>
      <w:r w:rsidRPr="00C01028">
        <w:rPr>
          <w:rFonts w:cstheme="minorHAnsi"/>
          <w:b/>
          <w:bCs/>
          <w:color w:val="D34817" w:themeColor="accent1"/>
          <w:sz w:val="22"/>
          <w:szCs w:val="22"/>
          <w:u w:val="single"/>
        </w:rPr>
        <w:t>NOTA 9 – INGRESOS</w:t>
      </w:r>
    </w:p>
    <w:p w14:paraId="499BC6B0" w14:textId="7ECC4C61" w:rsidR="006A0A16" w:rsidRPr="00C01028" w:rsidRDefault="006A0A16" w:rsidP="006A0A16">
      <w:pPr>
        <w:spacing w:after="240"/>
        <w:jc w:val="both"/>
        <w:rPr>
          <w:rFonts w:cstheme="minorHAnsi"/>
          <w:sz w:val="22"/>
          <w:szCs w:val="22"/>
        </w:rPr>
      </w:pPr>
      <w:r w:rsidRPr="00C01028">
        <w:rPr>
          <w:rFonts w:cstheme="minorHAnsi"/>
          <w:sz w:val="22"/>
          <w:szCs w:val="22"/>
        </w:rPr>
        <w:t>Para el año 202</w:t>
      </w:r>
      <w:r w:rsidR="00DC4BDD">
        <w:rPr>
          <w:rFonts w:cstheme="minorHAnsi"/>
          <w:sz w:val="22"/>
          <w:szCs w:val="22"/>
        </w:rPr>
        <w:t>5</w:t>
      </w:r>
      <w:r w:rsidRPr="00C01028">
        <w:rPr>
          <w:rFonts w:cstheme="minorHAnsi"/>
          <w:sz w:val="22"/>
          <w:szCs w:val="22"/>
        </w:rPr>
        <w:t xml:space="preserve"> la Fundación recibió de parte de la fundadora Hilarión Madariaga Julia Esther </w:t>
      </w:r>
      <w:r w:rsidR="00DC4BDD">
        <w:rPr>
          <w:rFonts w:cstheme="minorHAnsi"/>
          <w:sz w:val="22"/>
          <w:szCs w:val="22"/>
        </w:rPr>
        <w:t>dieciocho millones quinientos mil seiscientos treinta pesos</w:t>
      </w:r>
      <w:r w:rsidRPr="00C01028">
        <w:rPr>
          <w:rFonts w:cstheme="minorHAnsi"/>
          <w:sz w:val="22"/>
          <w:szCs w:val="22"/>
        </w:rPr>
        <w:t xml:space="preserve"> m/</w:t>
      </w:r>
      <w:r w:rsidR="00C61462" w:rsidRPr="00C01028">
        <w:rPr>
          <w:rFonts w:cstheme="minorHAnsi"/>
          <w:sz w:val="22"/>
          <w:szCs w:val="22"/>
        </w:rPr>
        <w:t>cte.</w:t>
      </w:r>
      <w:r w:rsidRPr="00C01028">
        <w:rPr>
          <w:rFonts w:cstheme="minorHAnsi"/>
          <w:sz w:val="22"/>
          <w:szCs w:val="22"/>
        </w:rPr>
        <w:t xml:space="preserve"> ($</w:t>
      </w:r>
      <w:r w:rsidR="00DC4BDD">
        <w:rPr>
          <w:rFonts w:cstheme="minorHAnsi"/>
          <w:sz w:val="22"/>
          <w:szCs w:val="22"/>
        </w:rPr>
        <w:t>18</w:t>
      </w:r>
      <w:r w:rsidRPr="00C01028">
        <w:rPr>
          <w:rFonts w:cstheme="minorHAnsi"/>
          <w:sz w:val="22"/>
          <w:szCs w:val="22"/>
        </w:rPr>
        <w:t>.</w:t>
      </w:r>
      <w:r w:rsidR="00DC4BDD">
        <w:rPr>
          <w:rFonts w:cstheme="minorHAnsi"/>
          <w:sz w:val="22"/>
          <w:szCs w:val="22"/>
        </w:rPr>
        <w:t>500</w:t>
      </w:r>
      <w:r w:rsidRPr="00C01028">
        <w:rPr>
          <w:rFonts w:cstheme="minorHAnsi"/>
          <w:sz w:val="22"/>
          <w:szCs w:val="22"/>
        </w:rPr>
        <w:t>.</w:t>
      </w:r>
      <w:r w:rsidR="00DC4BDD">
        <w:rPr>
          <w:rFonts w:cstheme="minorHAnsi"/>
          <w:sz w:val="22"/>
          <w:szCs w:val="22"/>
        </w:rPr>
        <w:t>630</w:t>
      </w:r>
      <w:r w:rsidRPr="00C01028">
        <w:rPr>
          <w:rFonts w:cstheme="minorHAnsi"/>
          <w:sz w:val="22"/>
          <w:szCs w:val="22"/>
        </w:rPr>
        <w:t>) pesos m/cte., representados en gastos de administración, gerencia, asesoría, inversiones, ejecución de proyectos y evaluación del concurso en el desarrollo del objeto social.</w:t>
      </w:r>
    </w:p>
    <w:p w14:paraId="5D09F9F5" w14:textId="30DE83B1" w:rsidR="006A0A16" w:rsidRPr="00C01028" w:rsidRDefault="006A0A16" w:rsidP="006A0A16">
      <w:pPr>
        <w:spacing w:after="240"/>
        <w:jc w:val="both"/>
        <w:rPr>
          <w:rFonts w:cstheme="minorHAnsi"/>
          <w:sz w:val="22"/>
          <w:szCs w:val="22"/>
        </w:rPr>
      </w:pPr>
      <w:r w:rsidRPr="00C01028">
        <w:rPr>
          <w:rFonts w:cstheme="minorHAnsi"/>
          <w:sz w:val="22"/>
          <w:szCs w:val="22"/>
        </w:rPr>
        <w:t>Se aclara que en el rubro donaciones la Fundadora</w:t>
      </w:r>
      <w:r w:rsidR="00C61C37">
        <w:rPr>
          <w:rFonts w:cstheme="minorHAnsi"/>
          <w:sz w:val="22"/>
          <w:szCs w:val="22"/>
        </w:rPr>
        <w:t xml:space="preserve"> </w:t>
      </w:r>
      <w:r w:rsidR="00C61C37" w:rsidRPr="00C01028">
        <w:rPr>
          <w:rFonts w:cstheme="minorHAnsi"/>
          <w:sz w:val="22"/>
          <w:szCs w:val="22"/>
        </w:rPr>
        <w:t>Julia Esther</w:t>
      </w:r>
      <w:r w:rsidRPr="00C01028">
        <w:rPr>
          <w:rFonts w:cstheme="minorHAnsi"/>
          <w:sz w:val="22"/>
          <w:szCs w:val="22"/>
        </w:rPr>
        <w:t xml:space="preserve"> Hilarión Madariaga efectúa aportes adicionales en especie con su conocimiento y gestión incluyendo gastos de la sede y mantenimiento de </w:t>
      </w:r>
      <w:proofErr w:type="gramStart"/>
      <w:r w:rsidRPr="00C01028">
        <w:rPr>
          <w:rFonts w:cstheme="minorHAnsi"/>
          <w:sz w:val="22"/>
          <w:szCs w:val="22"/>
        </w:rPr>
        <w:t>la misma</w:t>
      </w:r>
      <w:proofErr w:type="gramEnd"/>
      <w:r w:rsidRPr="00C01028">
        <w:rPr>
          <w:rFonts w:cstheme="minorHAnsi"/>
          <w:sz w:val="22"/>
          <w:szCs w:val="22"/>
        </w:rPr>
        <w:t>, valorado en $</w:t>
      </w:r>
      <w:r w:rsidR="00C61C37">
        <w:rPr>
          <w:rFonts w:cstheme="minorHAnsi"/>
          <w:sz w:val="22"/>
          <w:szCs w:val="22"/>
        </w:rPr>
        <w:t>48</w:t>
      </w:r>
      <w:r w:rsidRPr="00C01028">
        <w:rPr>
          <w:rFonts w:cstheme="minorHAnsi"/>
          <w:sz w:val="22"/>
          <w:szCs w:val="22"/>
        </w:rPr>
        <w:t xml:space="preserve">.000.000 anual aproximadamente. Los cuales no se reflejaron en estos estados financieros, para evitar costos adicionales en su contabilización, estos no pudieron ser asumidos con el flujo de caja disponible. </w:t>
      </w:r>
    </w:p>
    <w:p w14:paraId="51D87518" w14:textId="35257A60" w:rsidR="004B0FE5" w:rsidRPr="00C01028" w:rsidRDefault="004B0FE5" w:rsidP="006A0A16">
      <w:pPr>
        <w:spacing w:after="240"/>
        <w:jc w:val="both"/>
        <w:rPr>
          <w:rFonts w:cstheme="minorHAnsi"/>
          <w:b/>
          <w:bCs/>
          <w:color w:val="9B2D1F" w:themeColor="accent2"/>
          <w:sz w:val="22"/>
          <w:szCs w:val="22"/>
        </w:rPr>
      </w:pPr>
      <w:r w:rsidRPr="00C01028">
        <w:rPr>
          <w:rFonts w:cstheme="minorHAnsi"/>
          <w:b/>
          <w:bCs/>
          <w:color w:val="9B2D1F" w:themeColor="accent2"/>
          <w:sz w:val="22"/>
          <w:szCs w:val="22"/>
        </w:rPr>
        <w:t xml:space="preserve">OTROS INGRESOS </w:t>
      </w:r>
    </w:p>
    <w:p w14:paraId="5C700728" w14:textId="2FC716BA" w:rsidR="00C61C37" w:rsidRDefault="004B0FE5" w:rsidP="00C61C37">
      <w:pPr>
        <w:spacing w:after="0"/>
        <w:jc w:val="both"/>
        <w:rPr>
          <w:rFonts w:cstheme="minorHAnsi"/>
          <w:sz w:val="22"/>
          <w:szCs w:val="22"/>
        </w:rPr>
      </w:pPr>
      <w:r w:rsidRPr="00C01028">
        <w:rPr>
          <w:rFonts w:cstheme="minorHAnsi"/>
          <w:sz w:val="22"/>
          <w:szCs w:val="22"/>
        </w:rPr>
        <w:t>Los otros ingresos se dan por la donación de su fundadora</w:t>
      </w:r>
      <w:r w:rsidR="00E00146">
        <w:rPr>
          <w:rFonts w:cstheme="minorHAnsi"/>
          <w:sz w:val="22"/>
          <w:szCs w:val="22"/>
        </w:rPr>
        <w:t xml:space="preserve"> </w:t>
      </w:r>
      <w:r w:rsidR="00E00146" w:rsidRPr="00E00146">
        <w:rPr>
          <w:rFonts w:cstheme="minorHAnsi"/>
          <w:sz w:val="22"/>
          <w:szCs w:val="22"/>
        </w:rPr>
        <w:t>Julia Esther Hilarión Madariaga</w:t>
      </w:r>
      <w:r w:rsidR="002D1C4B">
        <w:rPr>
          <w:rFonts w:cstheme="minorHAnsi"/>
          <w:sz w:val="22"/>
          <w:szCs w:val="22"/>
        </w:rPr>
        <w:t xml:space="preserve"> y</w:t>
      </w:r>
      <w:r w:rsidR="009C474E">
        <w:rPr>
          <w:rFonts w:cstheme="minorHAnsi"/>
          <w:sz w:val="22"/>
          <w:szCs w:val="22"/>
        </w:rPr>
        <w:t xml:space="preserve"> de Microsoft </w:t>
      </w:r>
      <w:r w:rsidR="009C474E" w:rsidRPr="009C474E">
        <w:rPr>
          <w:rFonts w:cstheme="minorHAnsi"/>
          <w:sz w:val="22"/>
          <w:szCs w:val="22"/>
        </w:rPr>
        <w:t>Plataforma Azur</w:t>
      </w:r>
      <w:r w:rsidR="00DC4BDD">
        <w:rPr>
          <w:rFonts w:cstheme="minorHAnsi"/>
          <w:sz w:val="22"/>
          <w:szCs w:val="22"/>
        </w:rPr>
        <w:t>e</w:t>
      </w:r>
      <w:r w:rsidRPr="00C01028">
        <w:rPr>
          <w:rFonts w:cstheme="minorHAnsi"/>
          <w:sz w:val="22"/>
          <w:szCs w:val="22"/>
        </w:rPr>
        <w:t>:</w:t>
      </w:r>
    </w:p>
    <w:p w14:paraId="63FAC68A" w14:textId="4EE31E13" w:rsidR="004B0FE5" w:rsidRPr="00C01028" w:rsidRDefault="004B0FE5" w:rsidP="006A0A16">
      <w:pPr>
        <w:spacing w:after="240"/>
        <w:jc w:val="both"/>
        <w:rPr>
          <w:rFonts w:cstheme="minorHAnsi"/>
          <w:sz w:val="22"/>
          <w:szCs w:val="22"/>
        </w:rPr>
      </w:pPr>
      <w:r w:rsidRPr="00C01028">
        <w:rPr>
          <w:rFonts w:cstheme="minorHAnsi"/>
          <w:sz w:val="22"/>
          <w:szCs w:val="22"/>
        </w:rPr>
        <w:t xml:space="preserve"> El saldo de ingresos a 31 de diciembre de 202</w:t>
      </w:r>
      <w:r w:rsidR="00DC4BDD">
        <w:rPr>
          <w:rFonts w:cstheme="minorHAnsi"/>
          <w:sz w:val="22"/>
          <w:szCs w:val="22"/>
        </w:rPr>
        <w:t>5</w:t>
      </w:r>
      <w:r w:rsidRPr="00C01028">
        <w:rPr>
          <w:rFonts w:cstheme="minorHAnsi"/>
          <w:sz w:val="22"/>
          <w:szCs w:val="22"/>
        </w:rPr>
        <w:t xml:space="preserve"> comprende los siguientes valores:</w:t>
      </w:r>
    </w:p>
    <w:p w14:paraId="1C7D4AB4" w14:textId="799C3083" w:rsidR="008F2EA6" w:rsidRPr="00C01028" w:rsidRDefault="002D1C4B" w:rsidP="004838A9">
      <w:pPr>
        <w:spacing w:after="0"/>
        <w:jc w:val="both"/>
        <w:rPr>
          <w:rFonts w:cstheme="minorHAnsi"/>
          <w:sz w:val="22"/>
          <w:szCs w:val="22"/>
        </w:rPr>
      </w:pPr>
      <w:r w:rsidRPr="002D1C4B">
        <w:rPr>
          <w:rFonts w:cstheme="minorHAnsi"/>
          <w:sz w:val="22"/>
          <w:szCs w:val="22"/>
        </w:rPr>
        <w:drawing>
          <wp:inline distT="0" distB="0" distL="0" distR="0" wp14:anchorId="77FDFF22" wp14:editId="793711D7">
            <wp:extent cx="5612130" cy="2084070"/>
            <wp:effectExtent l="0" t="0" r="7620" b="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612130" cy="2084070"/>
                    </a:xfrm>
                    <a:prstGeom prst="rect">
                      <a:avLst/>
                    </a:prstGeom>
                  </pic:spPr>
                </pic:pic>
              </a:graphicData>
            </a:graphic>
          </wp:inline>
        </w:drawing>
      </w:r>
    </w:p>
    <w:p w14:paraId="6AF121DD" w14:textId="77777777" w:rsidR="004838A9" w:rsidRPr="00C01028" w:rsidRDefault="004838A9" w:rsidP="004838A9">
      <w:pPr>
        <w:spacing w:after="0"/>
        <w:jc w:val="both"/>
        <w:rPr>
          <w:rFonts w:cstheme="minorHAnsi"/>
          <w:b/>
          <w:bCs/>
          <w:color w:val="D34817" w:themeColor="accent1"/>
          <w:sz w:val="22"/>
          <w:szCs w:val="22"/>
          <w:u w:val="single"/>
        </w:rPr>
      </w:pPr>
    </w:p>
    <w:p w14:paraId="289A8067" w14:textId="6FA75046" w:rsidR="00C61462" w:rsidRPr="00C01028" w:rsidRDefault="00C61462" w:rsidP="00110196">
      <w:pPr>
        <w:spacing w:after="120"/>
        <w:jc w:val="both"/>
        <w:rPr>
          <w:rFonts w:cstheme="minorHAnsi"/>
          <w:b/>
          <w:bCs/>
          <w:color w:val="D34817" w:themeColor="accent1"/>
          <w:sz w:val="22"/>
          <w:szCs w:val="22"/>
          <w:u w:val="single"/>
        </w:rPr>
      </w:pPr>
      <w:r w:rsidRPr="00C01028">
        <w:rPr>
          <w:rFonts w:cstheme="minorHAnsi"/>
          <w:b/>
          <w:bCs/>
          <w:color w:val="D34817" w:themeColor="accent1"/>
          <w:sz w:val="22"/>
          <w:szCs w:val="22"/>
          <w:u w:val="single"/>
        </w:rPr>
        <w:t xml:space="preserve">NOTA 10 – </w:t>
      </w:r>
      <w:r w:rsidR="00E54EE9" w:rsidRPr="00C01028">
        <w:rPr>
          <w:rFonts w:cstheme="minorHAnsi"/>
          <w:b/>
          <w:bCs/>
          <w:color w:val="D34817" w:themeColor="accent1"/>
          <w:sz w:val="22"/>
          <w:szCs w:val="22"/>
          <w:u w:val="single"/>
        </w:rPr>
        <w:t>GASTOS DE OPERACIÓN</w:t>
      </w:r>
    </w:p>
    <w:p w14:paraId="657D6FD8" w14:textId="77777777" w:rsidR="00110196" w:rsidRDefault="00C61462" w:rsidP="00110196">
      <w:pPr>
        <w:spacing w:after="120"/>
        <w:jc w:val="both"/>
        <w:rPr>
          <w:rFonts w:cstheme="minorHAnsi"/>
          <w:b/>
          <w:bCs/>
          <w:color w:val="9B2D1F" w:themeColor="accent2"/>
          <w:sz w:val="22"/>
          <w:szCs w:val="22"/>
        </w:rPr>
      </w:pPr>
      <w:r w:rsidRPr="00C01028">
        <w:rPr>
          <w:rFonts w:cstheme="minorHAnsi"/>
          <w:b/>
          <w:bCs/>
          <w:color w:val="9B2D1F" w:themeColor="accent2"/>
          <w:sz w:val="22"/>
          <w:szCs w:val="22"/>
        </w:rPr>
        <w:t>PROYECTOS ESTRATEGICOS FUNDACION CUMPLIMIENTO MISI</w:t>
      </w:r>
      <w:r w:rsidR="004838A9" w:rsidRPr="00C01028">
        <w:rPr>
          <w:rFonts w:cstheme="minorHAnsi"/>
          <w:b/>
          <w:bCs/>
          <w:color w:val="9B2D1F" w:themeColor="accent2"/>
          <w:sz w:val="22"/>
          <w:szCs w:val="22"/>
        </w:rPr>
        <w:t>Ó</w:t>
      </w:r>
      <w:r w:rsidRPr="00C01028">
        <w:rPr>
          <w:rFonts w:cstheme="minorHAnsi"/>
          <w:b/>
          <w:bCs/>
          <w:color w:val="9B2D1F" w:themeColor="accent2"/>
          <w:sz w:val="22"/>
          <w:szCs w:val="22"/>
        </w:rPr>
        <w:t xml:space="preserve">N </w:t>
      </w:r>
    </w:p>
    <w:p w14:paraId="6B199B01" w14:textId="4BA71FD8" w:rsidR="005A5DF3" w:rsidRPr="00C01028" w:rsidRDefault="00C61462" w:rsidP="00C64109">
      <w:pPr>
        <w:spacing w:after="0"/>
        <w:jc w:val="both"/>
        <w:rPr>
          <w:rFonts w:cstheme="minorHAnsi"/>
          <w:color w:val="000000" w:themeColor="text1"/>
          <w:sz w:val="22"/>
          <w:szCs w:val="22"/>
        </w:rPr>
      </w:pPr>
      <w:r w:rsidRPr="00C01028">
        <w:rPr>
          <w:rFonts w:cstheme="minorHAnsi"/>
          <w:color w:val="000000" w:themeColor="text1"/>
          <w:sz w:val="22"/>
          <w:szCs w:val="22"/>
        </w:rPr>
        <w:t>Se realizó reestructuración de ejecución de proyectos en cuentas contables para mostrar la ejecución de los gastos adecuado a la realidad financiera de la fundación. Para ello se describe a continuación:</w:t>
      </w:r>
    </w:p>
    <w:p w14:paraId="7521019E" w14:textId="7071E5E5" w:rsidR="002262FE" w:rsidRDefault="002D1C4B" w:rsidP="00C64109">
      <w:pPr>
        <w:spacing w:after="0"/>
        <w:jc w:val="both"/>
        <w:rPr>
          <w:rFonts w:cstheme="minorHAnsi"/>
          <w:color w:val="000000" w:themeColor="text1"/>
          <w:sz w:val="22"/>
          <w:szCs w:val="22"/>
        </w:rPr>
      </w:pPr>
      <w:r w:rsidRPr="002D1C4B">
        <w:rPr>
          <w:rFonts w:cstheme="minorHAnsi"/>
          <w:color w:val="000000" w:themeColor="text1"/>
          <w:sz w:val="22"/>
          <w:szCs w:val="22"/>
        </w:rPr>
        <w:drawing>
          <wp:inline distT="0" distB="0" distL="0" distR="0" wp14:anchorId="5C8D75F4" wp14:editId="4D730F1B">
            <wp:extent cx="5612130" cy="6070600"/>
            <wp:effectExtent l="0" t="0" r="7620" b="635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612130" cy="6070600"/>
                    </a:xfrm>
                    <a:prstGeom prst="rect">
                      <a:avLst/>
                    </a:prstGeom>
                  </pic:spPr>
                </pic:pic>
              </a:graphicData>
            </a:graphic>
          </wp:inline>
        </w:drawing>
      </w:r>
    </w:p>
    <w:p w14:paraId="1CDADD20" w14:textId="77777777" w:rsidR="002D1C4B" w:rsidRDefault="002D1C4B" w:rsidP="00C64109">
      <w:pPr>
        <w:spacing w:after="0"/>
        <w:jc w:val="both"/>
        <w:rPr>
          <w:rFonts w:cstheme="minorHAnsi"/>
          <w:color w:val="000000" w:themeColor="text1"/>
          <w:sz w:val="22"/>
          <w:szCs w:val="22"/>
        </w:rPr>
      </w:pPr>
    </w:p>
    <w:p w14:paraId="292C8048" w14:textId="77777777" w:rsidR="002D1C4B" w:rsidRDefault="002D1C4B" w:rsidP="00C64109">
      <w:pPr>
        <w:spacing w:after="0"/>
        <w:jc w:val="both"/>
        <w:rPr>
          <w:rFonts w:cstheme="minorHAnsi"/>
          <w:color w:val="000000" w:themeColor="text1"/>
          <w:sz w:val="22"/>
          <w:szCs w:val="22"/>
        </w:rPr>
      </w:pPr>
    </w:p>
    <w:p w14:paraId="2329A249" w14:textId="77777777" w:rsidR="002D1C4B" w:rsidRDefault="002D1C4B" w:rsidP="00C64109">
      <w:pPr>
        <w:spacing w:after="0"/>
        <w:jc w:val="both"/>
        <w:rPr>
          <w:rFonts w:cstheme="minorHAnsi"/>
          <w:color w:val="000000" w:themeColor="text1"/>
          <w:sz w:val="22"/>
          <w:szCs w:val="22"/>
        </w:rPr>
      </w:pPr>
    </w:p>
    <w:p w14:paraId="2DE8F2EB" w14:textId="77777777" w:rsidR="002D1C4B" w:rsidRDefault="002D1C4B" w:rsidP="00C64109">
      <w:pPr>
        <w:spacing w:after="0"/>
        <w:jc w:val="both"/>
        <w:rPr>
          <w:rFonts w:cstheme="minorHAnsi"/>
          <w:color w:val="000000" w:themeColor="text1"/>
          <w:sz w:val="22"/>
          <w:szCs w:val="22"/>
        </w:rPr>
      </w:pPr>
    </w:p>
    <w:p w14:paraId="63017D60" w14:textId="09A86943" w:rsidR="002D1C4B" w:rsidRDefault="002D1C4B" w:rsidP="00C64109">
      <w:pPr>
        <w:spacing w:after="0"/>
        <w:jc w:val="both"/>
        <w:rPr>
          <w:rFonts w:cstheme="minorHAnsi"/>
          <w:color w:val="000000" w:themeColor="text1"/>
          <w:sz w:val="22"/>
          <w:szCs w:val="22"/>
        </w:rPr>
      </w:pPr>
      <w:r w:rsidRPr="002D1C4B">
        <w:rPr>
          <w:rFonts w:cstheme="minorHAnsi"/>
          <w:color w:val="000000" w:themeColor="text1"/>
          <w:sz w:val="22"/>
          <w:szCs w:val="22"/>
        </w:rPr>
        <w:drawing>
          <wp:inline distT="0" distB="0" distL="0" distR="0" wp14:anchorId="044AA3F7" wp14:editId="6C22AF35">
            <wp:extent cx="5612130" cy="2536190"/>
            <wp:effectExtent l="0" t="0" r="7620"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5612130" cy="2536190"/>
                    </a:xfrm>
                    <a:prstGeom prst="rect">
                      <a:avLst/>
                    </a:prstGeom>
                  </pic:spPr>
                </pic:pic>
              </a:graphicData>
            </a:graphic>
          </wp:inline>
        </w:drawing>
      </w:r>
    </w:p>
    <w:p w14:paraId="1757F4B3" w14:textId="10B23786" w:rsidR="00C64109" w:rsidRPr="00C01028" w:rsidRDefault="00C64109" w:rsidP="00C64109">
      <w:pPr>
        <w:spacing w:after="0"/>
        <w:jc w:val="both"/>
        <w:rPr>
          <w:rFonts w:cstheme="minorHAnsi"/>
          <w:color w:val="000000" w:themeColor="text1"/>
          <w:sz w:val="22"/>
          <w:szCs w:val="22"/>
        </w:rPr>
      </w:pPr>
    </w:p>
    <w:p w14:paraId="0CDC31DE" w14:textId="4E08F84A" w:rsidR="004838A9" w:rsidRPr="00C01028" w:rsidRDefault="004838A9" w:rsidP="006A0A16">
      <w:pPr>
        <w:spacing w:after="240"/>
        <w:jc w:val="both"/>
        <w:rPr>
          <w:rFonts w:cstheme="minorHAnsi"/>
          <w:b/>
          <w:bCs/>
          <w:color w:val="D34817" w:themeColor="accent1"/>
          <w:sz w:val="22"/>
          <w:szCs w:val="22"/>
          <w:u w:val="single"/>
        </w:rPr>
      </w:pPr>
      <w:r w:rsidRPr="00C01028">
        <w:rPr>
          <w:rFonts w:cstheme="minorHAnsi"/>
          <w:b/>
          <w:bCs/>
          <w:color w:val="D34817" w:themeColor="accent1"/>
          <w:sz w:val="22"/>
          <w:szCs w:val="22"/>
          <w:u w:val="single"/>
        </w:rPr>
        <w:t>NOTA 11 – GASTOS DE ADMINISTRACIÓN</w:t>
      </w:r>
    </w:p>
    <w:p w14:paraId="3D3F8B85" w14:textId="4AA6F01C" w:rsidR="004838A9" w:rsidRPr="00C01028" w:rsidRDefault="004838A9" w:rsidP="006A0A16">
      <w:pPr>
        <w:spacing w:after="240"/>
        <w:jc w:val="both"/>
        <w:rPr>
          <w:rFonts w:cstheme="minorHAnsi"/>
          <w:color w:val="000000" w:themeColor="text1"/>
          <w:sz w:val="22"/>
          <w:szCs w:val="22"/>
        </w:rPr>
      </w:pPr>
      <w:r w:rsidRPr="00C01028">
        <w:rPr>
          <w:rFonts w:cstheme="minorHAnsi"/>
          <w:color w:val="000000" w:themeColor="text1"/>
          <w:sz w:val="22"/>
          <w:szCs w:val="22"/>
        </w:rPr>
        <w:t>En virtud del tipo de actividad que realiza la Fundación, no se presentan operaciones que deban registrarse como costo, por lo tanto, estas son registradas como gasto operacional. El comportamiento de estos gastos fue el siguiente:</w:t>
      </w:r>
    </w:p>
    <w:p w14:paraId="01563AF7" w14:textId="699A7203" w:rsidR="004838A9" w:rsidRPr="00C01028" w:rsidRDefault="00C64109" w:rsidP="006A0A16">
      <w:pPr>
        <w:spacing w:after="240"/>
        <w:jc w:val="both"/>
        <w:rPr>
          <w:rFonts w:cstheme="minorHAnsi"/>
          <w:color w:val="000000" w:themeColor="text1"/>
          <w:sz w:val="22"/>
          <w:szCs w:val="22"/>
        </w:rPr>
      </w:pPr>
      <w:r w:rsidRPr="00C64109">
        <w:rPr>
          <w:rFonts w:cstheme="minorHAnsi"/>
          <w:noProof/>
          <w:color w:val="000000" w:themeColor="text1"/>
          <w:sz w:val="22"/>
          <w:szCs w:val="22"/>
        </w:rPr>
        <w:drawing>
          <wp:inline distT="0" distB="0" distL="0" distR="0" wp14:anchorId="6514DF2A" wp14:editId="0800EDF9">
            <wp:extent cx="5612130" cy="2188210"/>
            <wp:effectExtent l="0" t="0" r="7620" b="254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612130" cy="2188210"/>
                    </a:xfrm>
                    <a:prstGeom prst="rect">
                      <a:avLst/>
                    </a:prstGeom>
                  </pic:spPr>
                </pic:pic>
              </a:graphicData>
            </a:graphic>
          </wp:inline>
        </w:drawing>
      </w:r>
    </w:p>
    <w:p w14:paraId="3AFE27FE" w14:textId="7635F231" w:rsidR="00107A9F" w:rsidRPr="00C01028" w:rsidRDefault="00107A9F" w:rsidP="006A0A16">
      <w:pPr>
        <w:spacing w:after="240"/>
        <w:jc w:val="both"/>
        <w:rPr>
          <w:rFonts w:cstheme="minorHAnsi"/>
          <w:b/>
          <w:bCs/>
          <w:color w:val="D34817" w:themeColor="accent1"/>
          <w:sz w:val="22"/>
          <w:szCs w:val="22"/>
          <w:u w:val="single"/>
        </w:rPr>
      </w:pPr>
      <w:r w:rsidRPr="00C01028">
        <w:rPr>
          <w:rFonts w:cstheme="minorHAnsi"/>
          <w:b/>
          <w:bCs/>
          <w:color w:val="D34817" w:themeColor="accent1"/>
          <w:sz w:val="22"/>
          <w:szCs w:val="22"/>
          <w:u w:val="single"/>
        </w:rPr>
        <w:t>NOTA 1</w:t>
      </w:r>
      <w:r w:rsidR="00713AC7">
        <w:rPr>
          <w:rFonts w:cstheme="minorHAnsi"/>
          <w:b/>
          <w:bCs/>
          <w:color w:val="D34817" w:themeColor="accent1"/>
          <w:sz w:val="22"/>
          <w:szCs w:val="22"/>
          <w:u w:val="single"/>
        </w:rPr>
        <w:t>2</w:t>
      </w:r>
      <w:r w:rsidRPr="00C01028">
        <w:rPr>
          <w:rFonts w:cstheme="minorHAnsi"/>
          <w:b/>
          <w:bCs/>
          <w:color w:val="D34817" w:themeColor="accent1"/>
          <w:sz w:val="22"/>
          <w:szCs w:val="22"/>
          <w:u w:val="single"/>
        </w:rPr>
        <w:t xml:space="preserve"> HECHOS POSTERIORES </w:t>
      </w:r>
    </w:p>
    <w:p w14:paraId="40C36739" w14:textId="557803D6" w:rsidR="00F80FD0" w:rsidRPr="00C01028" w:rsidRDefault="00107A9F" w:rsidP="006A0A16">
      <w:pPr>
        <w:spacing w:after="240"/>
        <w:jc w:val="both"/>
        <w:rPr>
          <w:rFonts w:cstheme="minorHAnsi"/>
          <w:sz w:val="22"/>
          <w:szCs w:val="22"/>
        </w:rPr>
      </w:pPr>
      <w:r w:rsidRPr="00C01028">
        <w:rPr>
          <w:rFonts w:cstheme="minorHAnsi"/>
          <w:sz w:val="22"/>
          <w:szCs w:val="22"/>
        </w:rPr>
        <w:t>La administración de la compañía no tiene conocimiento de hechos posteriores al 31 de diciembre de 202</w:t>
      </w:r>
      <w:r w:rsidR="00110196">
        <w:rPr>
          <w:rFonts w:cstheme="minorHAnsi"/>
          <w:sz w:val="22"/>
          <w:szCs w:val="22"/>
        </w:rPr>
        <w:t>5</w:t>
      </w:r>
      <w:r w:rsidRPr="00C01028">
        <w:rPr>
          <w:rFonts w:cstheme="minorHAnsi"/>
          <w:sz w:val="22"/>
          <w:szCs w:val="22"/>
        </w:rPr>
        <w:t xml:space="preserve"> y hasta la fecha de emisión de los presentes estados financieros consolidados, que lo pudiesen afectar significativamente.</w:t>
      </w:r>
    </w:p>
    <w:p w14:paraId="71385936" w14:textId="216E08A2" w:rsidR="00107A9F" w:rsidRPr="00C01028" w:rsidRDefault="00107A9F" w:rsidP="00107A9F">
      <w:pPr>
        <w:spacing w:after="240"/>
        <w:jc w:val="both"/>
        <w:rPr>
          <w:rFonts w:cstheme="minorHAnsi"/>
          <w:b/>
          <w:bCs/>
          <w:color w:val="D34817" w:themeColor="accent1"/>
          <w:sz w:val="22"/>
          <w:szCs w:val="22"/>
          <w:u w:val="single"/>
        </w:rPr>
      </w:pPr>
      <w:r w:rsidRPr="00C01028">
        <w:rPr>
          <w:rFonts w:cstheme="minorHAnsi"/>
          <w:b/>
          <w:bCs/>
          <w:color w:val="D34817" w:themeColor="accent1"/>
          <w:sz w:val="22"/>
          <w:szCs w:val="22"/>
          <w:u w:val="single"/>
        </w:rPr>
        <w:t>NOTA 1</w:t>
      </w:r>
      <w:r w:rsidR="00713AC7">
        <w:rPr>
          <w:rFonts w:cstheme="minorHAnsi"/>
          <w:b/>
          <w:bCs/>
          <w:color w:val="D34817" w:themeColor="accent1"/>
          <w:sz w:val="22"/>
          <w:szCs w:val="22"/>
          <w:u w:val="single"/>
        </w:rPr>
        <w:t>3</w:t>
      </w:r>
      <w:r w:rsidRPr="00C01028">
        <w:rPr>
          <w:rFonts w:cstheme="minorHAnsi"/>
          <w:b/>
          <w:bCs/>
          <w:color w:val="D34817" w:themeColor="accent1"/>
          <w:sz w:val="22"/>
          <w:szCs w:val="22"/>
          <w:u w:val="single"/>
        </w:rPr>
        <w:t xml:space="preserve"> CONTINGENCIAS, COMPROMISOS Y GARANTÍAS</w:t>
      </w:r>
    </w:p>
    <w:p w14:paraId="787F1F9E" w14:textId="1BBBB248" w:rsidR="00107A9F" w:rsidRDefault="00107A9F" w:rsidP="00107A9F">
      <w:pPr>
        <w:spacing w:after="240"/>
        <w:jc w:val="both"/>
        <w:rPr>
          <w:rFonts w:cstheme="minorHAnsi"/>
          <w:color w:val="000000" w:themeColor="text1"/>
          <w:sz w:val="22"/>
          <w:szCs w:val="22"/>
        </w:rPr>
      </w:pPr>
      <w:r w:rsidRPr="00C01028">
        <w:rPr>
          <w:rFonts w:cstheme="minorHAnsi"/>
          <w:color w:val="000000" w:themeColor="text1"/>
          <w:sz w:val="22"/>
          <w:szCs w:val="22"/>
        </w:rPr>
        <w:t>La compañía no presenta contingencias y compromisos al 31 de diciembre de 202</w:t>
      </w:r>
      <w:r w:rsidR="00110196">
        <w:rPr>
          <w:rFonts w:cstheme="minorHAnsi"/>
          <w:color w:val="000000" w:themeColor="text1"/>
          <w:sz w:val="22"/>
          <w:szCs w:val="22"/>
        </w:rPr>
        <w:t>5</w:t>
      </w:r>
      <w:r w:rsidRPr="00C01028">
        <w:rPr>
          <w:rFonts w:cstheme="minorHAnsi"/>
          <w:color w:val="000000" w:themeColor="text1"/>
          <w:sz w:val="22"/>
          <w:szCs w:val="22"/>
        </w:rPr>
        <w:t>.</w:t>
      </w:r>
    </w:p>
    <w:p w14:paraId="31594742" w14:textId="515E5AB5" w:rsidR="006D3247" w:rsidRPr="00C01028" w:rsidRDefault="006D3247" w:rsidP="00107A9F">
      <w:pPr>
        <w:spacing w:after="240"/>
        <w:jc w:val="both"/>
        <w:rPr>
          <w:rFonts w:cstheme="minorHAnsi"/>
          <w:b/>
          <w:bCs/>
          <w:color w:val="D34817" w:themeColor="accent1"/>
          <w:sz w:val="22"/>
          <w:szCs w:val="22"/>
          <w:u w:val="single"/>
        </w:rPr>
      </w:pPr>
      <w:r w:rsidRPr="00C01028">
        <w:rPr>
          <w:rFonts w:cstheme="minorHAnsi"/>
          <w:b/>
          <w:bCs/>
          <w:color w:val="D34817" w:themeColor="accent1"/>
          <w:sz w:val="22"/>
          <w:szCs w:val="22"/>
          <w:u w:val="single"/>
        </w:rPr>
        <w:lastRenderedPageBreak/>
        <w:t>NOTA 1</w:t>
      </w:r>
      <w:r w:rsidR="00713AC7">
        <w:rPr>
          <w:rFonts w:cstheme="minorHAnsi"/>
          <w:b/>
          <w:bCs/>
          <w:color w:val="D34817" w:themeColor="accent1"/>
          <w:sz w:val="22"/>
          <w:szCs w:val="22"/>
          <w:u w:val="single"/>
        </w:rPr>
        <w:t>4</w:t>
      </w:r>
      <w:r w:rsidRPr="00C01028">
        <w:rPr>
          <w:rFonts w:cstheme="minorHAnsi"/>
          <w:b/>
          <w:bCs/>
          <w:color w:val="D34817" w:themeColor="accent1"/>
          <w:sz w:val="22"/>
          <w:szCs w:val="22"/>
          <w:u w:val="single"/>
        </w:rPr>
        <w:t xml:space="preserve"> PASIVO O ACTIVO DE RENTA POR IMPUESTO DIFERIDO </w:t>
      </w:r>
    </w:p>
    <w:p w14:paraId="4376A7A6" w14:textId="170CB7A1" w:rsidR="00CA57AD" w:rsidRDefault="006D3247" w:rsidP="006D3247">
      <w:pPr>
        <w:spacing w:after="240"/>
        <w:jc w:val="both"/>
        <w:rPr>
          <w:rFonts w:cstheme="minorHAnsi"/>
          <w:color w:val="000000" w:themeColor="text1"/>
          <w:sz w:val="22"/>
          <w:szCs w:val="22"/>
        </w:rPr>
      </w:pPr>
      <w:r w:rsidRPr="00C01028">
        <w:rPr>
          <w:rFonts w:cstheme="minorHAnsi"/>
          <w:color w:val="000000" w:themeColor="text1"/>
          <w:sz w:val="22"/>
          <w:szCs w:val="22"/>
        </w:rPr>
        <w:t>Para el ejercicio del año 202</w:t>
      </w:r>
      <w:r w:rsidR="00110196">
        <w:rPr>
          <w:rFonts w:cstheme="minorHAnsi"/>
          <w:color w:val="000000" w:themeColor="text1"/>
          <w:sz w:val="22"/>
          <w:szCs w:val="22"/>
        </w:rPr>
        <w:t>5</w:t>
      </w:r>
      <w:r w:rsidRPr="00C01028">
        <w:rPr>
          <w:rFonts w:cstheme="minorHAnsi"/>
          <w:color w:val="000000" w:themeColor="text1"/>
          <w:sz w:val="22"/>
          <w:szCs w:val="22"/>
        </w:rPr>
        <w:t xml:space="preserve"> no se generaron diferencias temporarias que den lugar al reconocimiento de impuesto de renta diferido.</w:t>
      </w:r>
    </w:p>
    <w:p w14:paraId="7F115364" w14:textId="77777777" w:rsidR="002D1C4B" w:rsidRPr="00C01028" w:rsidRDefault="002D1C4B" w:rsidP="006D3247">
      <w:pPr>
        <w:spacing w:after="240"/>
        <w:jc w:val="both"/>
        <w:rPr>
          <w:rFonts w:cstheme="minorHAnsi"/>
          <w:color w:val="000000" w:themeColor="text1"/>
          <w:sz w:val="22"/>
          <w:szCs w:val="22"/>
        </w:rPr>
      </w:pPr>
    </w:p>
    <w:p w14:paraId="2CBC8DA4" w14:textId="4B169163" w:rsidR="006D3247" w:rsidRPr="00C01028" w:rsidRDefault="002D1C4B" w:rsidP="006D3247">
      <w:pPr>
        <w:spacing w:after="240"/>
        <w:jc w:val="both"/>
        <w:rPr>
          <w:rFonts w:cstheme="minorHAnsi"/>
          <w:color w:val="000000" w:themeColor="text1"/>
          <w:sz w:val="22"/>
          <w:szCs w:val="22"/>
        </w:rPr>
      </w:pPr>
      <w:r>
        <w:rPr>
          <w:noProof/>
        </w:rPr>
        <w:drawing>
          <wp:inline distT="0" distB="0" distL="0" distR="0" wp14:anchorId="3BD46E6A" wp14:editId="1B536C18">
            <wp:extent cx="5612130" cy="1016000"/>
            <wp:effectExtent l="0" t="0" r="7620" b="0"/>
            <wp:docPr id="25" name="Imagen 1" descr="Imagen que contiene Interfaz de usuario gráfica&#10;&#10;El contenido generado por IA puede ser incorrecto.">
              <a:extLst xmlns:a="http://schemas.openxmlformats.org/drawingml/2006/main">
                <a:ext uri="{FF2B5EF4-FFF2-40B4-BE49-F238E27FC236}">
                  <a16:creationId xmlns:a16="http://schemas.microsoft.com/office/drawing/2014/main" id="{16B42D27-2E18-0372-0056-AA9102AB38F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descr="Imagen que contiene Interfaz de usuario gráfica&#10;&#10;El contenido generado por IA puede ser incorrecto.">
                      <a:extLst>
                        <a:ext uri="{FF2B5EF4-FFF2-40B4-BE49-F238E27FC236}">
                          <a16:creationId xmlns:a16="http://schemas.microsoft.com/office/drawing/2014/main" id="{16B42D27-2E18-0372-0056-AA9102AB38FE}"/>
                        </a:ext>
                      </a:extLst>
                    </pic:cNvPr>
                    <pic:cNvPicPr>
                      <a:picLocks noChangeAspect="1"/>
                    </pic:cNvPicPr>
                  </pic:nvPicPr>
                  <pic:blipFill>
                    <a:blip r:embed="rId23"/>
                    <a:stretch>
                      <a:fillRect/>
                    </a:stretch>
                  </pic:blipFill>
                  <pic:spPr>
                    <a:xfrm>
                      <a:off x="0" y="0"/>
                      <a:ext cx="5612130" cy="1016000"/>
                    </a:xfrm>
                    <a:prstGeom prst="rect">
                      <a:avLst/>
                    </a:prstGeom>
                  </pic:spPr>
                </pic:pic>
              </a:graphicData>
            </a:graphic>
          </wp:inline>
        </w:drawing>
      </w:r>
    </w:p>
    <w:p w14:paraId="090216D8" w14:textId="32277526" w:rsidR="006D3247" w:rsidRPr="00C01028" w:rsidRDefault="006D3247" w:rsidP="006D3247">
      <w:pPr>
        <w:spacing w:after="240"/>
        <w:jc w:val="both"/>
        <w:rPr>
          <w:rFonts w:cstheme="minorHAnsi"/>
          <w:color w:val="000000" w:themeColor="text1"/>
          <w:sz w:val="22"/>
          <w:szCs w:val="22"/>
        </w:rPr>
      </w:pPr>
    </w:p>
    <w:p w14:paraId="510C28A3" w14:textId="5A7FD93E" w:rsidR="00C64262" w:rsidRDefault="00C64262" w:rsidP="006D3247">
      <w:pPr>
        <w:spacing w:after="240"/>
        <w:jc w:val="both"/>
        <w:rPr>
          <w:rFonts w:cstheme="minorHAnsi"/>
          <w:color w:val="000000" w:themeColor="text1"/>
          <w:sz w:val="22"/>
          <w:szCs w:val="22"/>
        </w:rPr>
      </w:pPr>
    </w:p>
    <w:p w14:paraId="75BE0C2B" w14:textId="16E5B600" w:rsidR="00C64262" w:rsidRDefault="00C64262" w:rsidP="006D3247">
      <w:pPr>
        <w:spacing w:after="240"/>
        <w:jc w:val="both"/>
        <w:rPr>
          <w:rFonts w:cstheme="minorHAnsi"/>
          <w:color w:val="000000" w:themeColor="text1"/>
          <w:sz w:val="22"/>
          <w:szCs w:val="22"/>
        </w:rPr>
      </w:pPr>
    </w:p>
    <w:sectPr w:rsidR="00C64262">
      <w:headerReference w:type="default" r:id="rId24"/>
      <w:footerReference w:type="default" r:id="rId25"/>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099757" w14:textId="77777777" w:rsidR="001A579C" w:rsidRDefault="001A579C" w:rsidP="000969D3">
      <w:pPr>
        <w:spacing w:after="0" w:line="240" w:lineRule="auto"/>
      </w:pPr>
      <w:r>
        <w:separator/>
      </w:r>
    </w:p>
  </w:endnote>
  <w:endnote w:type="continuationSeparator" w:id="0">
    <w:p w14:paraId="02F23BD5" w14:textId="77777777" w:rsidR="001A579C" w:rsidRDefault="001A579C" w:rsidP="000969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MT">
    <w:charset w:val="00"/>
    <w:family w:val="swiss"/>
    <w:pitch w:val="variable"/>
    <w:sig w:usb0="00000003"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9E5F9" w14:textId="06334AD8" w:rsidR="00E54EE9" w:rsidRDefault="00E54EE9">
    <w:pPr>
      <w:pStyle w:val="Piedepgina"/>
      <w:rPr>
        <w:b/>
        <w:bCs/>
      </w:rPr>
    </w:pPr>
  </w:p>
  <w:p w14:paraId="02AF8212" w14:textId="78CB0327" w:rsidR="000969D3" w:rsidRPr="00A448F8" w:rsidRDefault="00E54EE9">
    <w:pPr>
      <w:pStyle w:val="Piedepgina"/>
      <w:rPr>
        <w:b/>
        <w:bCs/>
      </w:rPr>
    </w:pPr>
    <w:r>
      <w:rPr>
        <w:noProof/>
        <w:lang w:val="en-US"/>
      </w:rPr>
      <mc:AlternateContent>
        <mc:Choice Requires="wps">
          <w:drawing>
            <wp:anchor distT="0" distB="0" distL="114300" distR="114300" simplePos="0" relativeHeight="251663360" behindDoc="1" locked="0" layoutInCell="1" allowOverlap="1" wp14:anchorId="44EB10D2" wp14:editId="270C4F7F">
              <wp:simplePos x="0" y="0"/>
              <wp:positionH relativeFrom="page">
                <wp:posOffset>6001385</wp:posOffset>
              </wp:positionH>
              <wp:positionV relativeFrom="page">
                <wp:posOffset>9540875</wp:posOffset>
              </wp:positionV>
              <wp:extent cx="727710" cy="197485"/>
              <wp:effectExtent l="0" t="0" r="0" b="0"/>
              <wp:wrapNone/>
              <wp:docPr id="2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7710" cy="1974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143B96" w14:textId="77777777" w:rsidR="00E54EE9" w:rsidRDefault="00E54EE9" w:rsidP="00E54EE9">
                          <w:pPr>
                            <w:spacing w:before="21"/>
                            <w:ind w:left="20"/>
                            <w:rPr>
                              <w:rFonts w:ascii="Verdana" w:hAnsi="Verdana"/>
                            </w:rPr>
                          </w:pPr>
                          <w:r>
                            <w:rPr>
                              <w:rFonts w:ascii="Verdana" w:hAnsi="Verdana"/>
                              <w:color w:val="3A0F04"/>
                            </w:rPr>
                            <w:t xml:space="preserve">Página </w:t>
                          </w:r>
                          <w:r>
                            <w:fldChar w:fldCharType="begin"/>
                          </w:r>
                          <w:r>
                            <w:rPr>
                              <w:rFonts w:ascii="Verdana" w:hAnsi="Verdana"/>
                              <w:color w:val="3A0F04"/>
                            </w:rPr>
                            <w:instrText xml:space="preserve"> PAGE </w:instrText>
                          </w:r>
                          <w:r>
                            <w:fldChar w:fldCharType="separate"/>
                          </w:r>
                          <w:r>
                            <w:rPr>
                              <w:rFonts w:ascii="Verdana" w:hAnsi="Verdana"/>
                              <w:noProof/>
                              <w:color w:val="3A0F04"/>
                            </w:rP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EB10D2" id="_x0000_t202" coordsize="21600,21600" o:spt="202" path="m,l,21600r21600,l21600,xe">
              <v:stroke joinstyle="miter"/>
              <v:path gradientshapeok="t" o:connecttype="rect"/>
            </v:shapetype>
            <v:shape id="Text Box 1" o:spid="_x0000_s1026" type="#_x0000_t202" style="position:absolute;margin-left:472.55pt;margin-top:751.25pt;width:57.3pt;height:15.55pt;z-index:-2516531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" filled="f" stroked="f">
              <v:textbox inset="0,0,0,0">
                <w:txbxContent>
                  <w:p w14:paraId="6D143B96" w14:textId="77777777" w:rsidR="00E54EE9" w:rsidRDefault="00E54EE9" w:rsidP="00E54EE9">
                    <w:pPr>
                      <w:spacing w:before="21"/>
                      <w:ind w:left="20"/>
                      <w:rPr>
                        <w:rFonts w:ascii="Verdana" w:hAnsi="Verdana"/>
                      </w:rPr>
                    </w:pPr>
                    <w:r>
                      <w:rPr>
                        <w:rFonts w:ascii="Verdana" w:hAnsi="Verdana"/>
                        <w:color w:val="3A0F04"/>
                      </w:rPr>
                      <w:t xml:space="preserve">Página </w:t>
                    </w:r>
                    <w:r>
                      <w:fldChar w:fldCharType="begin"/>
                    </w:r>
                    <w:r>
                      <w:rPr>
                        <w:rFonts w:ascii="Verdana" w:hAnsi="Verdana"/>
                        <w:color w:val="3A0F04"/>
                      </w:rPr>
                      <w:instrText xml:space="preserve"> PAGE </w:instrText>
                    </w:r>
                    <w:r>
                      <w:fldChar w:fldCharType="separate"/>
                    </w:r>
                    <w:r>
                      <w:rPr>
                        <w:rFonts w:ascii="Verdana" w:hAnsi="Verdana"/>
                        <w:noProof/>
                        <w:color w:val="3A0F04"/>
                      </w:rPr>
                      <w:t>1</w:t>
                    </w:r>
                    <w:r>
                      <w:fldChar w:fldCharType="end"/>
                    </w:r>
                  </w:p>
                </w:txbxContent>
              </v:textbox>
              <w10:wrap anchorx="page" anchory="page"/>
            </v:shape>
          </w:pict>
        </mc:Fallback>
      </mc:AlternateContent>
    </w:r>
    <w:r>
      <w:rPr>
        <w:noProof/>
        <w:lang w:val="en-US"/>
      </w:rPr>
      <mc:AlternateContent>
        <mc:Choice Requires="wps">
          <w:drawing>
            <wp:anchor distT="0" distB="0" distL="114300" distR="114300" simplePos="0" relativeHeight="251661312" behindDoc="1" locked="0" layoutInCell="1" allowOverlap="1" wp14:anchorId="0051707A" wp14:editId="2CA08AA9">
              <wp:simplePos x="0" y="0"/>
              <wp:positionH relativeFrom="margin">
                <wp:align>left</wp:align>
              </wp:positionH>
              <wp:positionV relativeFrom="page">
                <wp:posOffset>9544050</wp:posOffset>
              </wp:positionV>
              <wp:extent cx="4015740" cy="161925"/>
              <wp:effectExtent l="0" t="0" r="3810" b="9525"/>
              <wp:wrapNone/>
              <wp:docPr id="2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15740" cy="1619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2BEE4C" w14:textId="51465DF5" w:rsidR="00E54EE9" w:rsidRPr="00543A97" w:rsidRDefault="00E54EE9" w:rsidP="00E54EE9">
                          <w:pPr>
                            <w:spacing w:before="21"/>
                            <w:ind w:left="20"/>
                            <w:rPr>
                              <w:rFonts w:ascii="Verdana"/>
                            </w:rPr>
                          </w:pPr>
                          <w:r>
                            <w:rPr>
                              <w:rFonts w:ascii="Verdana"/>
                              <w:color w:val="3A0F04"/>
                              <w:w w:val="95"/>
                            </w:rPr>
                            <w:t>Informe de Gesti</w:t>
                          </w:r>
                          <w:r>
                            <w:rPr>
                              <w:rFonts w:ascii="Verdana"/>
                              <w:color w:val="3A0F04"/>
                              <w:w w:val="95"/>
                            </w:rPr>
                            <w:t>ó</w:t>
                          </w:r>
                          <w:r>
                            <w:rPr>
                              <w:rFonts w:ascii="Verdana"/>
                              <w:color w:val="3A0F04"/>
                              <w:w w:val="95"/>
                            </w:rPr>
                            <w:t>n Fundaci</w:t>
                          </w:r>
                          <w:r>
                            <w:rPr>
                              <w:rFonts w:ascii="Verdana"/>
                              <w:color w:val="3A0F04"/>
                              <w:w w:val="95"/>
                            </w:rPr>
                            <w:t>ó</w:t>
                          </w:r>
                          <w:r>
                            <w:rPr>
                              <w:rFonts w:ascii="Verdana"/>
                              <w:color w:val="3A0F04"/>
                              <w:w w:val="95"/>
                            </w:rPr>
                            <w:t>n MINCI 202</w:t>
                          </w:r>
                          <w:r w:rsidR="00DC4BDD">
                            <w:rPr>
                              <w:rFonts w:ascii="Verdana"/>
                              <w:color w:val="3A0F04"/>
                              <w:w w:val="95"/>
                            </w:rPr>
                            <w:t>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051707A" id="Text Box 2" o:spid="_x0000_s1027" type="#_x0000_t202" style="position:absolute;margin-left:0;margin-top:751.5pt;width:316.2pt;height:12.75pt;z-index:-251655168;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" filled="f" stroked="f">
              <v:textbox inset="0,0,0,0">
                <w:txbxContent>
                  <w:p w14:paraId="252BEE4C" w14:textId="51465DF5" w:rsidR="00E54EE9" w:rsidRPr="00543A97" w:rsidRDefault="00E54EE9" w:rsidP="00E54EE9">
                    <w:pPr>
                      <w:spacing w:before="21"/>
                      <w:ind w:left="20"/>
                      <w:rPr>
                        <w:rFonts w:ascii="Verdana"/>
                      </w:rPr>
                    </w:pPr>
                    <w:r>
                      <w:rPr>
                        <w:rFonts w:ascii="Verdana"/>
                        <w:color w:val="3A0F04"/>
                        <w:w w:val="95"/>
                      </w:rPr>
                      <w:t>Informe de Gesti</w:t>
                    </w:r>
                    <w:r>
                      <w:rPr>
                        <w:rFonts w:ascii="Verdana"/>
                        <w:color w:val="3A0F04"/>
                        <w:w w:val="95"/>
                      </w:rPr>
                      <w:t>ó</w:t>
                    </w:r>
                    <w:r>
                      <w:rPr>
                        <w:rFonts w:ascii="Verdana"/>
                        <w:color w:val="3A0F04"/>
                        <w:w w:val="95"/>
                      </w:rPr>
                      <w:t>n Fundaci</w:t>
                    </w:r>
                    <w:r>
                      <w:rPr>
                        <w:rFonts w:ascii="Verdana"/>
                        <w:color w:val="3A0F04"/>
                        <w:w w:val="95"/>
                      </w:rPr>
                      <w:t>ó</w:t>
                    </w:r>
                    <w:r>
                      <w:rPr>
                        <w:rFonts w:ascii="Verdana"/>
                        <w:color w:val="3A0F04"/>
                        <w:w w:val="95"/>
                      </w:rPr>
                      <w:t>n MINCI 202</w:t>
                    </w:r>
                    <w:r w:rsidR="00DC4BDD">
                      <w:rPr>
                        <w:rFonts w:ascii="Verdana"/>
                        <w:color w:val="3A0F04"/>
                        <w:w w:val="95"/>
                      </w:rPr>
                      <w:t>5</w:t>
                    </w:r>
                  </w:p>
                </w:txbxContent>
              </v:textbox>
              <w10:wrap anchorx="margin" anchory="page"/>
            </v:shape>
          </w:pict>
        </mc:Fallback>
      </mc:AlternateContent>
    </w:r>
    <w:r>
      <w:rPr>
        <w:noProof/>
        <w:lang w:val="en-US"/>
      </w:rPr>
      <mc:AlternateContent>
        <mc:Choice Requires="wpg">
          <w:drawing>
            <wp:anchor distT="0" distB="0" distL="114300" distR="114300" simplePos="0" relativeHeight="251659264" behindDoc="1" locked="0" layoutInCell="1" allowOverlap="1" wp14:anchorId="200CA82B" wp14:editId="209C2E99">
              <wp:simplePos x="0" y="0"/>
              <wp:positionH relativeFrom="page">
                <wp:posOffset>1080135</wp:posOffset>
              </wp:positionH>
              <wp:positionV relativeFrom="page">
                <wp:posOffset>9455150</wp:posOffset>
              </wp:positionV>
              <wp:extent cx="5648960" cy="56515"/>
              <wp:effectExtent l="0" t="0" r="0" b="0"/>
              <wp:wrapNone/>
              <wp:docPr id="1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48960" cy="56515"/>
                        <a:chOff x="1956" y="14472"/>
                        <a:chExt cx="8896" cy="89"/>
                      </a:xfrm>
                    </wpg:grpSpPr>
                    <wps:wsp>
                      <wps:cNvPr id="21" name="Line 5"/>
                      <wps:cNvCnPr>
                        <a:cxnSpLocks noChangeShapeType="1"/>
                      </wps:cNvCnPr>
                      <wps:spPr bwMode="auto">
                        <a:xfrm>
                          <a:off x="1956" y="14502"/>
                          <a:ext cx="8896" cy="0"/>
                        </a:xfrm>
                        <a:prstGeom prst="line">
                          <a:avLst/>
                        </a:prstGeom>
                        <a:noFill/>
                        <a:ln w="38100">
                          <a:solidFill>
                            <a:srgbClr val="3A0F04"/>
                          </a:solidFill>
                          <a:prstDash val="solid"/>
                          <a:round/>
                          <a:headEnd/>
                          <a:tailEnd/>
                        </a:ln>
                        <a:extLst>
                          <a:ext uri="{909E8E84-426E-40DD-AFC4-6F175D3DCCD1}">
                            <a14:hiddenFill xmlns:a14="http://schemas.microsoft.com/office/drawing/2010/main">
                              <a:noFill/>
                            </a14:hiddenFill>
                          </a:ext>
                        </a:extLst>
                      </wps:spPr>
                      <wps:bodyPr/>
                    </wps:wsp>
                    <wps:wsp>
                      <wps:cNvPr id="22" name="Line 4"/>
                      <wps:cNvCnPr>
                        <a:cxnSpLocks noChangeShapeType="1"/>
                      </wps:cNvCnPr>
                      <wps:spPr bwMode="auto">
                        <a:xfrm>
                          <a:off x="1956" y="14554"/>
                          <a:ext cx="8896" cy="0"/>
                        </a:xfrm>
                        <a:prstGeom prst="line">
                          <a:avLst/>
                        </a:prstGeom>
                        <a:noFill/>
                        <a:ln w="9144">
                          <a:solidFill>
                            <a:srgbClr val="3A0F04"/>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group w14:anchorId="1F066D62" id="Group 3" o:spid="_x0000_s1026" style="position:absolute;margin-left:85.05pt;margin-top:744.5pt;width:444.8pt;height:4.45pt;z-index:-251657216;mso-position-horizontal-relative:page;mso-position-vertical-relative:page" coordorigin="1956,14472" coordsize="8896,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">
              <v:line id="Line 5" o:spid="_x0000_s1027" style="position:absolute;visibility:visible;mso-wrap-style:square" from="1956,14502" to="10852,1450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" strokecolor="#3a0f04" strokeweight="3pt"/>
              <v:line id="Line 4" o:spid="_x0000_s1028" style="position:absolute;visibility:visible;mso-wrap-style:square" from="1956,14554" to="10852,145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" strokecolor="#3a0f04" strokeweight=".72pt"/>
              <w10:wrap anchorx="page" anchory="page"/>
            </v:group>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3EC126" w14:textId="77777777" w:rsidR="001A579C" w:rsidRDefault="001A579C" w:rsidP="000969D3">
      <w:pPr>
        <w:spacing w:after="0" w:line="240" w:lineRule="auto"/>
      </w:pPr>
      <w:r>
        <w:separator/>
      </w:r>
    </w:p>
  </w:footnote>
  <w:footnote w:type="continuationSeparator" w:id="0">
    <w:p w14:paraId="05BF4E2F" w14:textId="77777777" w:rsidR="001A579C" w:rsidRDefault="001A579C" w:rsidP="000969D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FA39C3" w14:textId="112F4143" w:rsidR="002D1C4B" w:rsidRDefault="002D1C4B">
    <w:pPr>
      <w:pStyle w:val="Encabezado"/>
    </w:pPr>
    <w:r w:rsidRPr="002D1C4B">
      <w:drawing>
        <wp:inline distT="0" distB="0" distL="0" distR="0" wp14:anchorId="5CE7556B" wp14:editId="2DAF1089">
          <wp:extent cx="868110" cy="504825"/>
          <wp:effectExtent l="0" t="0" r="8255" b="0"/>
          <wp:docPr id="9" name="Imagen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870478" cy="50620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0" type="#_x0000_t75" style="width:11.25pt;height:11.25pt;visibility:visible;mso-wrap-style:square" o:bullet="t">
        <v:imagedata r:id="rId1" o:title=""/>
      </v:shape>
    </w:pict>
  </w:numPicBullet>
  <w:abstractNum w:abstractNumId="0" w15:restartNumberingAfterBreak="0">
    <w:nsid w:val="04B53D30"/>
    <w:multiLevelType w:val="hybridMultilevel"/>
    <w:tmpl w:val="AC769522"/>
    <w:lvl w:ilvl="0" w:tplc="AC26BC42">
      <w:start w:val="1"/>
      <w:numFmt w:val="lowerLetter"/>
      <w:lvlText w:val="%1)"/>
      <w:lvlJc w:val="left"/>
      <w:pPr>
        <w:ind w:left="720" w:hanging="360"/>
      </w:pPr>
      <w:rPr>
        <w:rFonts w:hint="default"/>
        <w:b/>
        <w:bCs/>
        <w:color w:val="9B2D1F" w:themeColor="accent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891518E"/>
    <w:multiLevelType w:val="hybridMultilevel"/>
    <w:tmpl w:val="48682D48"/>
    <w:lvl w:ilvl="0" w:tplc="240A0007">
      <w:start w:val="1"/>
      <w:numFmt w:val="bullet"/>
      <w:lvlText w:val=""/>
      <w:lvlPicBulletId w:val="0"/>
      <w:lvlJc w:val="left"/>
      <w:pPr>
        <w:ind w:left="720" w:hanging="360"/>
      </w:pPr>
      <w:rPr>
        <w:rFonts w:ascii="Symbol" w:hAnsi="Symbol" w:hint="default"/>
        <w:b w:val="0"/>
        <w:color w:val="auto"/>
        <w:u w:val="no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C0C6394"/>
    <w:multiLevelType w:val="hybridMultilevel"/>
    <w:tmpl w:val="A0AC8F48"/>
    <w:lvl w:ilvl="0" w:tplc="240A0007">
      <w:start w:val="1"/>
      <w:numFmt w:val="bullet"/>
      <w:lvlText w:val=""/>
      <w:lvlPicBulletId w:val="0"/>
      <w:lvlJc w:val="left"/>
      <w:pPr>
        <w:ind w:left="720" w:hanging="360"/>
      </w:pPr>
      <w:rPr>
        <w:rFonts w:ascii="Symbol" w:hAnsi="Symbol" w:hint="default"/>
        <w:b w:val="0"/>
        <w:color w:val="auto"/>
        <w:u w:val="no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FE038D5"/>
    <w:multiLevelType w:val="hybridMultilevel"/>
    <w:tmpl w:val="E7CAB500"/>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7F9570C"/>
    <w:multiLevelType w:val="hybridMultilevel"/>
    <w:tmpl w:val="F6D2711E"/>
    <w:lvl w:ilvl="0" w:tplc="B82E6876">
      <w:numFmt w:val="bullet"/>
      <w:lvlText w:val=""/>
      <w:lvlJc w:val="left"/>
      <w:pPr>
        <w:ind w:left="720" w:hanging="360"/>
      </w:pPr>
      <w:rPr>
        <w:rFonts w:ascii="Symbol" w:eastAsiaTheme="minorEastAsia" w:hAnsi="Symbol" w:cstheme="minorBidi" w:hint="default"/>
        <w:b w:val="0"/>
        <w:color w:val="auto"/>
        <w:u w:val="none"/>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0092DA7"/>
    <w:multiLevelType w:val="hybridMultilevel"/>
    <w:tmpl w:val="54C0A74A"/>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2A512131"/>
    <w:multiLevelType w:val="hybridMultilevel"/>
    <w:tmpl w:val="0BD8C0DA"/>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A503EE3"/>
    <w:multiLevelType w:val="hybridMultilevel"/>
    <w:tmpl w:val="B32E68EA"/>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50CC5BF1"/>
    <w:multiLevelType w:val="hybridMultilevel"/>
    <w:tmpl w:val="DBFE4BB0"/>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5F0918C3"/>
    <w:multiLevelType w:val="hybridMultilevel"/>
    <w:tmpl w:val="663ECAB2"/>
    <w:lvl w:ilvl="0" w:tplc="240A0007">
      <w:start w:val="1"/>
      <w:numFmt w:val="bullet"/>
      <w:lvlText w:val=""/>
      <w:lvlPicBulletId w:val="0"/>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0" w15:restartNumberingAfterBreak="0">
    <w:nsid w:val="682B7EB3"/>
    <w:multiLevelType w:val="hybridMultilevel"/>
    <w:tmpl w:val="DC149FAC"/>
    <w:lvl w:ilvl="0" w:tplc="B82E6876">
      <w:numFmt w:val="bullet"/>
      <w:lvlText w:val=""/>
      <w:lvlJc w:val="left"/>
      <w:pPr>
        <w:ind w:left="720" w:hanging="360"/>
      </w:pPr>
      <w:rPr>
        <w:rFonts w:ascii="Symbol" w:eastAsiaTheme="minorEastAsia" w:hAnsi="Symbol" w:cstheme="minorBidi" w:hint="default"/>
        <w:b w:val="0"/>
        <w:color w:val="auto"/>
        <w:u w:val="none"/>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6AA0438B"/>
    <w:multiLevelType w:val="hybridMultilevel"/>
    <w:tmpl w:val="BEDEF4D6"/>
    <w:lvl w:ilvl="0" w:tplc="240A0007">
      <w:start w:val="1"/>
      <w:numFmt w:val="bullet"/>
      <w:lvlText w:val=""/>
      <w:lvlPicBulletId w:val="0"/>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441336853">
    <w:abstractNumId w:val="4"/>
  </w:num>
  <w:num w:numId="2" w16cid:durableId="1966349883">
    <w:abstractNumId w:val="0"/>
  </w:num>
  <w:num w:numId="3" w16cid:durableId="2069453025">
    <w:abstractNumId w:val="10"/>
  </w:num>
  <w:num w:numId="4" w16cid:durableId="2129157450">
    <w:abstractNumId w:val="1"/>
  </w:num>
  <w:num w:numId="5" w16cid:durableId="1994722049">
    <w:abstractNumId w:val="2"/>
  </w:num>
  <w:num w:numId="6" w16cid:durableId="51736443">
    <w:abstractNumId w:val="3"/>
  </w:num>
  <w:num w:numId="7" w16cid:durableId="271864752">
    <w:abstractNumId w:val="8"/>
  </w:num>
  <w:num w:numId="8" w16cid:durableId="2118403624">
    <w:abstractNumId w:val="5"/>
  </w:num>
  <w:num w:numId="9" w16cid:durableId="444858431">
    <w:abstractNumId w:val="6"/>
  </w:num>
  <w:num w:numId="10" w16cid:durableId="629093845">
    <w:abstractNumId w:val="11"/>
  </w:num>
  <w:num w:numId="11" w16cid:durableId="1801453653">
    <w:abstractNumId w:val="9"/>
  </w:num>
  <w:num w:numId="12" w16cid:durableId="90645138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62B2"/>
    <w:rsid w:val="0000137D"/>
    <w:rsid w:val="0001097B"/>
    <w:rsid w:val="00015018"/>
    <w:rsid w:val="00021E8C"/>
    <w:rsid w:val="000300C7"/>
    <w:rsid w:val="000410B7"/>
    <w:rsid w:val="00041816"/>
    <w:rsid w:val="000537C5"/>
    <w:rsid w:val="00093D85"/>
    <w:rsid w:val="00095CB1"/>
    <w:rsid w:val="000969D3"/>
    <w:rsid w:val="000D4980"/>
    <w:rsid w:val="000F29AB"/>
    <w:rsid w:val="00107A9F"/>
    <w:rsid w:val="00110196"/>
    <w:rsid w:val="001202A2"/>
    <w:rsid w:val="00164E08"/>
    <w:rsid w:val="00172131"/>
    <w:rsid w:val="00174255"/>
    <w:rsid w:val="00174E2E"/>
    <w:rsid w:val="001762B2"/>
    <w:rsid w:val="001A33FE"/>
    <w:rsid w:val="001A579C"/>
    <w:rsid w:val="001D4093"/>
    <w:rsid w:val="002074CF"/>
    <w:rsid w:val="00222BAB"/>
    <w:rsid w:val="002262FE"/>
    <w:rsid w:val="0023371B"/>
    <w:rsid w:val="00250D9C"/>
    <w:rsid w:val="00253132"/>
    <w:rsid w:val="002602E9"/>
    <w:rsid w:val="002A407B"/>
    <w:rsid w:val="002D1C4B"/>
    <w:rsid w:val="002D34D9"/>
    <w:rsid w:val="002F3ACA"/>
    <w:rsid w:val="00301077"/>
    <w:rsid w:val="00334DF2"/>
    <w:rsid w:val="00345B63"/>
    <w:rsid w:val="003608A5"/>
    <w:rsid w:val="00385C95"/>
    <w:rsid w:val="00387A0E"/>
    <w:rsid w:val="003A63A9"/>
    <w:rsid w:val="003E13BA"/>
    <w:rsid w:val="003F24C1"/>
    <w:rsid w:val="00400807"/>
    <w:rsid w:val="0044056A"/>
    <w:rsid w:val="004442F6"/>
    <w:rsid w:val="004838A9"/>
    <w:rsid w:val="004B0FE5"/>
    <w:rsid w:val="0052323C"/>
    <w:rsid w:val="00580425"/>
    <w:rsid w:val="005867D5"/>
    <w:rsid w:val="005A3CF5"/>
    <w:rsid w:val="005A5DF3"/>
    <w:rsid w:val="005C3ED8"/>
    <w:rsid w:val="00613EA5"/>
    <w:rsid w:val="00622EB9"/>
    <w:rsid w:val="006244F0"/>
    <w:rsid w:val="00677676"/>
    <w:rsid w:val="00697237"/>
    <w:rsid w:val="006A0A16"/>
    <w:rsid w:val="006D3247"/>
    <w:rsid w:val="00713AC7"/>
    <w:rsid w:val="00720D2B"/>
    <w:rsid w:val="00722482"/>
    <w:rsid w:val="00723FC8"/>
    <w:rsid w:val="007265AE"/>
    <w:rsid w:val="00731B25"/>
    <w:rsid w:val="007E6A44"/>
    <w:rsid w:val="008529E1"/>
    <w:rsid w:val="00857102"/>
    <w:rsid w:val="00880A84"/>
    <w:rsid w:val="00884F77"/>
    <w:rsid w:val="00893BA4"/>
    <w:rsid w:val="008B1F9F"/>
    <w:rsid w:val="008E07E8"/>
    <w:rsid w:val="008E78B7"/>
    <w:rsid w:val="008F2EA6"/>
    <w:rsid w:val="00910500"/>
    <w:rsid w:val="009105BA"/>
    <w:rsid w:val="00970E04"/>
    <w:rsid w:val="00976E2C"/>
    <w:rsid w:val="00980135"/>
    <w:rsid w:val="00987F28"/>
    <w:rsid w:val="00994011"/>
    <w:rsid w:val="009963E8"/>
    <w:rsid w:val="009C474E"/>
    <w:rsid w:val="009C6EEE"/>
    <w:rsid w:val="009E229A"/>
    <w:rsid w:val="00A448F8"/>
    <w:rsid w:val="00A5498A"/>
    <w:rsid w:val="00A852A3"/>
    <w:rsid w:val="00A85B2B"/>
    <w:rsid w:val="00A86056"/>
    <w:rsid w:val="00AB5D20"/>
    <w:rsid w:val="00AE5C3B"/>
    <w:rsid w:val="00B209FF"/>
    <w:rsid w:val="00B366D3"/>
    <w:rsid w:val="00B654FF"/>
    <w:rsid w:val="00B659FA"/>
    <w:rsid w:val="00B66B4A"/>
    <w:rsid w:val="00B917C9"/>
    <w:rsid w:val="00C01028"/>
    <w:rsid w:val="00C02E11"/>
    <w:rsid w:val="00C22EF5"/>
    <w:rsid w:val="00C41AA0"/>
    <w:rsid w:val="00C42CA5"/>
    <w:rsid w:val="00C61462"/>
    <w:rsid w:val="00C61C37"/>
    <w:rsid w:val="00C64109"/>
    <w:rsid w:val="00C64262"/>
    <w:rsid w:val="00CA57AD"/>
    <w:rsid w:val="00CB7497"/>
    <w:rsid w:val="00CD1289"/>
    <w:rsid w:val="00CE3C93"/>
    <w:rsid w:val="00D138CE"/>
    <w:rsid w:val="00D14D09"/>
    <w:rsid w:val="00D32EFF"/>
    <w:rsid w:val="00D34F3D"/>
    <w:rsid w:val="00D77536"/>
    <w:rsid w:val="00D94CC3"/>
    <w:rsid w:val="00DA676D"/>
    <w:rsid w:val="00DC4BDD"/>
    <w:rsid w:val="00DF0DEB"/>
    <w:rsid w:val="00E00146"/>
    <w:rsid w:val="00E039DE"/>
    <w:rsid w:val="00E044FB"/>
    <w:rsid w:val="00E06421"/>
    <w:rsid w:val="00E54EE9"/>
    <w:rsid w:val="00E64F12"/>
    <w:rsid w:val="00EB2902"/>
    <w:rsid w:val="00EC7C17"/>
    <w:rsid w:val="00ED59F6"/>
    <w:rsid w:val="00EF3E19"/>
    <w:rsid w:val="00F06E79"/>
    <w:rsid w:val="00F140F5"/>
    <w:rsid w:val="00F14E58"/>
    <w:rsid w:val="00F23BEF"/>
    <w:rsid w:val="00F44AAA"/>
    <w:rsid w:val="00F74D59"/>
    <w:rsid w:val="00F80FD0"/>
    <w:rsid w:val="00FD32D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23D023"/>
  <w15:chartTrackingRefBased/>
  <w15:docId w15:val="{6F765999-5088-4F2A-8FCE-F25A47086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s-CO" w:eastAsia="en-US" w:bidi="ar-SA"/>
      </w:rPr>
    </w:rPrDefault>
    <w:pPrDefault>
      <w:pPr>
        <w:spacing w:after="160" w:line="300"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69D3"/>
  </w:style>
  <w:style w:type="paragraph" w:styleId="Ttulo1">
    <w:name w:val="heading 1"/>
    <w:basedOn w:val="Normal"/>
    <w:next w:val="Normal"/>
    <w:link w:val="Ttulo1Car"/>
    <w:uiPriority w:val="9"/>
    <w:qFormat/>
    <w:rsid w:val="000969D3"/>
    <w:pPr>
      <w:keepNext/>
      <w:keepLines/>
      <w:spacing w:before="320" w:after="80" w:line="240" w:lineRule="auto"/>
      <w:jc w:val="center"/>
      <w:outlineLvl w:val="0"/>
    </w:pPr>
    <w:rPr>
      <w:rFonts w:asciiTheme="majorHAnsi" w:eastAsiaTheme="majorEastAsia" w:hAnsiTheme="majorHAnsi" w:cstheme="majorBidi"/>
      <w:color w:val="9D3511" w:themeColor="accent1" w:themeShade="BF"/>
      <w:sz w:val="40"/>
      <w:szCs w:val="40"/>
    </w:rPr>
  </w:style>
  <w:style w:type="paragraph" w:styleId="Ttulo2">
    <w:name w:val="heading 2"/>
    <w:basedOn w:val="Normal"/>
    <w:next w:val="Normal"/>
    <w:link w:val="Ttulo2Car"/>
    <w:uiPriority w:val="9"/>
    <w:semiHidden/>
    <w:unhideWhenUsed/>
    <w:qFormat/>
    <w:rsid w:val="000969D3"/>
    <w:pPr>
      <w:keepNext/>
      <w:keepLines/>
      <w:spacing w:before="160" w:after="40" w:line="240" w:lineRule="auto"/>
      <w:jc w:val="center"/>
      <w:outlineLvl w:val="1"/>
    </w:pPr>
    <w:rPr>
      <w:rFonts w:asciiTheme="majorHAnsi" w:eastAsiaTheme="majorEastAsia" w:hAnsiTheme="majorHAnsi" w:cstheme="majorBidi"/>
      <w:sz w:val="32"/>
      <w:szCs w:val="32"/>
    </w:rPr>
  </w:style>
  <w:style w:type="paragraph" w:styleId="Ttulo3">
    <w:name w:val="heading 3"/>
    <w:basedOn w:val="Normal"/>
    <w:next w:val="Normal"/>
    <w:link w:val="Ttulo3Car"/>
    <w:uiPriority w:val="9"/>
    <w:semiHidden/>
    <w:unhideWhenUsed/>
    <w:qFormat/>
    <w:rsid w:val="000969D3"/>
    <w:pPr>
      <w:keepNext/>
      <w:keepLines/>
      <w:spacing w:before="160" w:after="0" w:line="240" w:lineRule="auto"/>
      <w:outlineLvl w:val="2"/>
    </w:pPr>
    <w:rPr>
      <w:rFonts w:asciiTheme="majorHAnsi" w:eastAsiaTheme="majorEastAsia" w:hAnsiTheme="majorHAnsi" w:cstheme="majorBidi"/>
      <w:sz w:val="32"/>
      <w:szCs w:val="32"/>
    </w:rPr>
  </w:style>
  <w:style w:type="paragraph" w:styleId="Ttulo4">
    <w:name w:val="heading 4"/>
    <w:basedOn w:val="Normal"/>
    <w:next w:val="Normal"/>
    <w:link w:val="Ttulo4Car"/>
    <w:uiPriority w:val="9"/>
    <w:semiHidden/>
    <w:unhideWhenUsed/>
    <w:qFormat/>
    <w:rsid w:val="000969D3"/>
    <w:pPr>
      <w:keepNext/>
      <w:keepLines/>
      <w:spacing w:before="80" w:after="0"/>
      <w:outlineLvl w:val="3"/>
    </w:pPr>
    <w:rPr>
      <w:rFonts w:asciiTheme="majorHAnsi" w:eastAsiaTheme="majorEastAsia" w:hAnsiTheme="majorHAnsi" w:cstheme="majorBidi"/>
      <w:i/>
      <w:iCs/>
      <w:sz w:val="30"/>
      <w:szCs w:val="30"/>
    </w:rPr>
  </w:style>
  <w:style w:type="paragraph" w:styleId="Ttulo5">
    <w:name w:val="heading 5"/>
    <w:basedOn w:val="Normal"/>
    <w:next w:val="Normal"/>
    <w:link w:val="Ttulo5Car"/>
    <w:uiPriority w:val="9"/>
    <w:semiHidden/>
    <w:unhideWhenUsed/>
    <w:qFormat/>
    <w:rsid w:val="000969D3"/>
    <w:pPr>
      <w:keepNext/>
      <w:keepLines/>
      <w:spacing w:before="40" w:after="0"/>
      <w:outlineLvl w:val="4"/>
    </w:pPr>
    <w:rPr>
      <w:rFonts w:asciiTheme="majorHAnsi" w:eastAsiaTheme="majorEastAsia" w:hAnsiTheme="majorHAnsi" w:cstheme="majorBidi"/>
      <w:sz w:val="28"/>
      <w:szCs w:val="28"/>
    </w:rPr>
  </w:style>
  <w:style w:type="paragraph" w:styleId="Ttulo6">
    <w:name w:val="heading 6"/>
    <w:basedOn w:val="Normal"/>
    <w:next w:val="Normal"/>
    <w:link w:val="Ttulo6Car"/>
    <w:uiPriority w:val="9"/>
    <w:semiHidden/>
    <w:unhideWhenUsed/>
    <w:qFormat/>
    <w:rsid w:val="000969D3"/>
    <w:pPr>
      <w:keepNext/>
      <w:keepLines/>
      <w:spacing w:before="40" w:after="0"/>
      <w:outlineLvl w:val="5"/>
    </w:pPr>
    <w:rPr>
      <w:rFonts w:asciiTheme="majorHAnsi" w:eastAsiaTheme="majorEastAsia" w:hAnsiTheme="majorHAnsi" w:cstheme="majorBidi"/>
      <w:i/>
      <w:iCs/>
      <w:sz w:val="26"/>
      <w:szCs w:val="26"/>
    </w:rPr>
  </w:style>
  <w:style w:type="paragraph" w:styleId="Ttulo7">
    <w:name w:val="heading 7"/>
    <w:basedOn w:val="Normal"/>
    <w:next w:val="Normal"/>
    <w:link w:val="Ttulo7Car"/>
    <w:uiPriority w:val="9"/>
    <w:semiHidden/>
    <w:unhideWhenUsed/>
    <w:qFormat/>
    <w:rsid w:val="000969D3"/>
    <w:pPr>
      <w:keepNext/>
      <w:keepLines/>
      <w:spacing w:before="40" w:after="0"/>
      <w:outlineLvl w:val="6"/>
    </w:pPr>
    <w:rPr>
      <w:rFonts w:asciiTheme="majorHAnsi" w:eastAsiaTheme="majorEastAsia" w:hAnsiTheme="majorHAnsi" w:cstheme="majorBidi"/>
      <w:sz w:val="24"/>
      <w:szCs w:val="24"/>
    </w:rPr>
  </w:style>
  <w:style w:type="paragraph" w:styleId="Ttulo8">
    <w:name w:val="heading 8"/>
    <w:basedOn w:val="Normal"/>
    <w:next w:val="Normal"/>
    <w:link w:val="Ttulo8Car"/>
    <w:uiPriority w:val="9"/>
    <w:semiHidden/>
    <w:unhideWhenUsed/>
    <w:qFormat/>
    <w:rsid w:val="000969D3"/>
    <w:pPr>
      <w:keepNext/>
      <w:keepLines/>
      <w:spacing w:before="40" w:after="0"/>
      <w:outlineLvl w:val="7"/>
    </w:pPr>
    <w:rPr>
      <w:rFonts w:asciiTheme="majorHAnsi" w:eastAsiaTheme="majorEastAsia" w:hAnsiTheme="majorHAnsi" w:cstheme="majorBidi"/>
      <w:i/>
      <w:iCs/>
      <w:sz w:val="22"/>
      <w:szCs w:val="22"/>
    </w:rPr>
  </w:style>
  <w:style w:type="paragraph" w:styleId="Ttulo9">
    <w:name w:val="heading 9"/>
    <w:basedOn w:val="Normal"/>
    <w:next w:val="Normal"/>
    <w:link w:val="Ttulo9Car"/>
    <w:uiPriority w:val="9"/>
    <w:semiHidden/>
    <w:unhideWhenUsed/>
    <w:qFormat/>
    <w:rsid w:val="000969D3"/>
    <w:pPr>
      <w:keepNext/>
      <w:keepLines/>
      <w:spacing w:before="40" w:after="0"/>
      <w:outlineLvl w:val="8"/>
    </w:pPr>
    <w:rPr>
      <w:b/>
      <w:bCs/>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1762B2"/>
    <w:pPr>
      <w:ind w:left="720"/>
      <w:contextualSpacing/>
    </w:pPr>
  </w:style>
  <w:style w:type="character" w:customStyle="1" w:styleId="Ttulo1Car">
    <w:name w:val="Título 1 Car"/>
    <w:basedOn w:val="Fuentedeprrafopredeter"/>
    <w:link w:val="Ttulo1"/>
    <w:uiPriority w:val="9"/>
    <w:rsid w:val="000969D3"/>
    <w:rPr>
      <w:rFonts w:asciiTheme="majorHAnsi" w:eastAsiaTheme="majorEastAsia" w:hAnsiTheme="majorHAnsi" w:cstheme="majorBidi"/>
      <w:color w:val="9D3511" w:themeColor="accent1" w:themeShade="BF"/>
      <w:sz w:val="40"/>
      <w:szCs w:val="40"/>
    </w:rPr>
  </w:style>
  <w:style w:type="character" w:customStyle="1" w:styleId="Ttulo2Car">
    <w:name w:val="Título 2 Car"/>
    <w:basedOn w:val="Fuentedeprrafopredeter"/>
    <w:link w:val="Ttulo2"/>
    <w:uiPriority w:val="9"/>
    <w:semiHidden/>
    <w:rsid w:val="000969D3"/>
    <w:rPr>
      <w:rFonts w:asciiTheme="majorHAnsi" w:eastAsiaTheme="majorEastAsia" w:hAnsiTheme="majorHAnsi" w:cstheme="majorBidi"/>
      <w:sz w:val="32"/>
      <w:szCs w:val="32"/>
    </w:rPr>
  </w:style>
  <w:style w:type="character" w:customStyle="1" w:styleId="Ttulo3Car">
    <w:name w:val="Título 3 Car"/>
    <w:basedOn w:val="Fuentedeprrafopredeter"/>
    <w:link w:val="Ttulo3"/>
    <w:uiPriority w:val="9"/>
    <w:semiHidden/>
    <w:rsid w:val="000969D3"/>
    <w:rPr>
      <w:rFonts w:asciiTheme="majorHAnsi" w:eastAsiaTheme="majorEastAsia" w:hAnsiTheme="majorHAnsi" w:cstheme="majorBidi"/>
      <w:sz w:val="32"/>
      <w:szCs w:val="32"/>
    </w:rPr>
  </w:style>
  <w:style w:type="character" w:customStyle="1" w:styleId="Ttulo4Car">
    <w:name w:val="Título 4 Car"/>
    <w:basedOn w:val="Fuentedeprrafopredeter"/>
    <w:link w:val="Ttulo4"/>
    <w:uiPriority w:val="9"/>
    <w:semiHidden/>
    <w:rsid w:val="000969D3"/>
    <w:rPr>
      <w:rFonts w:asciiTheme="majorHAnsi" w:eastAsiaTheme="majorEastAsia" w:hAnsiTheme="majorHAnsi" w:cstheme="majorBidi"/>
      <w:i/>
      <w:iCs/>
      <w:sz w:val="30"/>
      <w:szCs w:val="30"/>
    </w:rPr>
  </w:style>
  <w:style w:type="character" w:customStyle="1" w:styleId="Ttulo5Car">
    <w:name w:val="Título 5 Car"/>
    <w:basedOn w:val="Fuentedeprrafopredeter"/>
    <w:link w:val="Ttulo5"/>
    <w:uiPriority w:val="9"/>
    <w:semiHidden/>
    <w:rsid w:val="000969D3"/>
    <w:rPr>
      <w:rFonts w:asciiTheme="majorHAnsi" w:eastAsiaTheme="majorEastAsia" w:hAnsiTheme="majorHAnsi" w:cstheme="majorBidi"/>
      <w:sz w:val="28"/>
      <w:szCs w:val="28"/>
    </w:rPr>
  </w:style>
  <w:style w:type="character" w:customStyle="1" w:styleId="Ttulo6Car">
    <w:name w:val="Título 6 Car"/>
    <w:basedOn w:val="Fuentedeprrafopredeter"/>
    <w:link w:val="Ttulo6"/>
    <w:uiPriority w:val="9"/>
    <w:semiHidden/>
    <w:rsid w:val="000969D3"/>
    <w:rPr>
      <w:rFonts w:asciiTheme="majorHAnsi" w:eastAsiaTheme="majorEastAsia" w:hAnsiTheme="majorHAnsi" w:cstheme="majorBidi"/>
      <w:i/>
      <w:iCs/>
      <w:sz w:val="26"/>
      <w:szCs w:val="26"/>
    </w:rPr>
  </w:style>
  <w:style w:type="character" w:customStyle="1" w:styleId="Ttulo7Car">
    <w:name w:val="Título 7 Car"/>
    <w:basedOn w:val="Fuentedeprrafopredeter"/>
    <w:link w:val="Ttulo7"/>
    <w:uiPriority w:val="9"/>
    <w:semiHidden/>
    <w:rsid w:val="000969D3"/>
    <w:rPr>
      <w:rFonts w:asciiTheme="majorHAnsi" w:eastAsiaTheme="majorEastAsia" w:hAnsiTheme="majorHAnsi" w:cstheme="majorBidi"/>
      <w:sz w:val="24"/>
      <w:szCs w:val="24"/>
    </w:rPr>
  </w:style>
  <w:style w:type="character" w:customStyle="1" w:styleId="Ttulo8Car">
    <w:name w:val="Título 8 Car"/>
    <w:basedOn w:val="Fuentedeprrafopredeter"/>
    <w:link w:val="Ttulo8"/>
    <w:uiPriority w:val="9"/>
    <w:semiHidden/>
    <w:rsid w:val="000969D3"/>
    <w:rPr>
      <w:rFonts w:asciiTheme="majorHAnsi" w:eastAsiaTheme="majorEastAsia" w:hAnsiTheme="majorHAnsi" w:cstheme="majorBidi"/>
      <w:i/>
      <w:iCs/>
      <w:sz w:val="22"/>
      <w:szCs w:val="22"/>
    </w:rPr>
  </w:style>
  <w:style w:type="character" w:customStyle="1" w:styleId="Ttulo9Car">
    <w:name w:val="Título 9 Car"/>
    <w:basedOn w:val="Fuentedeprrafopredeter"/>
    <w:link w:val="Ttulo9"/>
    <w:uiPriority w:val="9"/>
    <w:semiHidden/>
    <w:rsid w:val="000969D3"/>
    <w:rPr>
      <w:b/>
      <w:bCs/>
      <w:i/>
      <w:iCs/>
    </w:rPr>
  </w:style>
  <w:style w:type="paragraph" w:styleId="Descripcin">
    <w:name w:val="caption"/>
    <w:basedOn w:val="Normal"/>
    <w:next w:val="Normal"/>
    <w:uiPriority w:val="35"/>
    <w:semiHidden/>
    <w:unhideWhenUsed/>
    <w:qFormat/>
    <w:rsid w:val="000969D3"/>
    <w:pPr>
      <w:spacing w:line="240" w:lineRule="auto"/>
    </w:pPr>
    <w:rPr>
      <w:b/>
      <w:bCs/>
      <w:color w:val="404040" w:themeColor="text1" w:themeTint="BF"/>
      <w:sz w:val="16"/>
      <w:szCs w:val="16"/>
    </w:rPr>
  </w:style>
  <w:style w:type="paragraph" w:styleId="Ttulo">
    <w:name w:val="Title"/>
    <w:basedOn w:val="Normal"/>
    <w:next w:val="Normal"/>
    <w:link w:val="TtuloCar"/>
    <w:uiPriority w:val="10"/>
    <w:qFormat/>
    <w:rsid w:val="000969D3"/>
    <w:pPr>
      <w:pBdr>
        <w:top w:val="single" w:sz="6" w:space="8" w:color="A28E6A" w:themeColor="accent3"/>
        <w:bottom w:val="single" w:sz="6" w:space="8" w:color="A28E6A" w:themeColor="accent3"/>
      </w:pBdr>
      <w:spacing w:after="400" w:line="240" w:lineRule="auto"/>
      <w:contextualSpacing/>
      <w:jc w:val="center"/>
    </w:pPr>
    <w:rPr>
      <w:rFonts w:asciiTheme="majorHAnsi" w:eastAsiaTheme="majorEastAsia" w:hAnsiTheme="majorHAnsi" w:cstheme="majorBidi"/>
      <w:caps/>
      <w:color w:val="696464" w:themeColor="text2"/>
      <w:spacing w:val="30"/>
      <w:sz w:val="72"/>
      <w:szCs w:val="72"/>
    </w:rPr>
  </w:style>
  <w:style w:type="character" w:customStyle="1" w:styleId="TtuloCar">
    <w:name w:val="Título Car"/>
    <w:basedOn w:val="Fuentedeprrafopredeter"/>
    <w:link w:val="Ttulo"/>
    <w:uiPriority w:val="10"/>
    <w:rsid w:val="000969D3"/>
    <w:rPr>
      <w:rFonts w:asciiTheme="majorHAnsi" w:eastAsiaTheme="majorEastAsia" w:hAnsiTheme="majorHAnsi" w:cstheme="majorBidi"/>
      <w:caps/>
      <w:color w:val="696464" w:themeColor="text2"/>
      <w:spacing w:val="30"/>
      <w:sz w:val="72"/>
      <w:szCs w:val="72"/>
    </w:rPr>
  </w:style>
  <w:style w:type="paragraph" w:styleId="Subttulo">
    <w:name w:val="Subtitle"/>
    <w:basedOn w:val="Normal"/>
    <w:next w:val="Normal"/>
    <w:link w:val="SubttuloCar"/>
    <w:uiPriority w:val="11"/>
    <w:qFormat/>
    <w:rsid w:val="000969D3"/>
    <w:pPr>
      <w:numPr>
        <w:ilvl w:val="1"/>
      </w:numPr>
      <w:jc w:val="center"/>
    </w:pPr>
    <w:rPr>
      <w:color w:val="696464" w:themeColor="text2"/>
      <w:sz w:val="28"/>
      <w:szCs w:val="28"/>
    </w:rPr>
  </w:style>
  <w:style w:type="character" w:customStyle="1" w:styleId="SubttuloCar">
    <w:name w:val="Subtítulo Car"/>
    <w:basedOn w:val="Fuentedeprrafopredeter"/>
    <w:link w:val="Subttulo"/>
    <w:uiPriority w:val="11"/>
    <w:rsid w:val="000969D3"/>
    <w:rPr>
      <w:color w:val="696464" w:themeColor="text2"/>
      <w:sz w:val="28"/>
      <w:szCs w:val="28"/>
    </w:rPr>
  </w:style>
  <w:style w:type="character" w:styleId="Textoennegrita">
    <w:name w:val="Strong"/>
    <w:basedOn w:val="Fuentedeprrafopredeter"/>
    <w:uiPriority w:val="22"/>
    <w:qFormat/>
    <w:rsid w:val="000969D3"/>
    <w:rPr>
      <w:b/>
      <w:bCs/>
    </w:rPr>
  </w:style>
  <w:style w:type="character" w:styleId="nfasis">
    <w:name w:val="Emphasis"/>
    <w:basedOn w:val="Fuentedeprrafopredeter"/>
    <w:uiPriority w:val="20"/>
    <w:qFormat/>
    <w:rsid w:val="000969D3"/>
    <w:rPr>
      <w:i/>
      <w:iCs/>
      <w:color w:val="000000" w:themeColor="text1"/>
    </w:rPr>
  </w:style>
  <w:style w:type="paragraph" w:styleId="Sinespaciado">
    <w:name w:val="No Spacing"/>
    <w:uiPriority w:val="1"/>
    <w:qFormat/>
    <w:rsid w:val="000969D3"/>
    <w:pPr>
      <w:spacing w:after="0" w:line="240" w:lineRule="auto"/>
    </w:pPr>
  </w:style>
  <w:style w:type="paragraph" w:styleId="Cita">
    <w:name w:val="Quote"/>
    <w:basedOn w:val="Normal"/>
    <w:next w:val="Normal"/>
    <w:link w:val="CitaCar"/>
    <w:uiPriority w:val="29"/>
    <w:qFormat/>
    <w:rsid w:val="000969D3"/>
    <w:pPr>
      <w:spacing w:before="160"/>
      <w:ind w:left="720" w:right="720"/>
      <w:jc w:val="center"/>
    </w:pPr>
    <w:rPr>
      <w:i/>
      <w:iCs/>
      <w:color w:val="7B6A4D" w:themeColor="accent3" w:themeShade="BF"/>
      <w:sz w:val="24"/>
      <w:szCs w:val="24"/>
    </w:rPr>
  </w:style>
  <w:style w:type="character" w:customStyle="1" w:styleId="CitaCar">
    <w:name w:val="Cita Car"/>
    <w:basedOn w:val="Fuentedeprrafopredeter"/>
    <w:link w:val="Cita"/>
    <w:uiPriority w:val="29"/>
    <w:rsid w:val="000969D3"/>
    <w:rPr>
      <w:i/>
      <w:iCs/>
      <w:color w:val="7B6A4D" w:themeColor="accent3" w:themeShade="BF"/>
      <w:sz w:val="24"/>
      <w:szCs w:val="24"/>
    </w:rPr>
  </w:style>
  <w:style w:type="paragraph" w:styleId="Citadestacada">
    <w:name w:val="Intense Quote"/>
    <w:basedOn w:val="Normal"/>
    <w:next w:val="Normal"/>
    <w:link w:val="CitadestacadaCar"/>
    <w:uiPriority w:val="30"/>
    <w:qFormat/>
    <w:rsid w:val="000969D3"/>
    <w:pPr>
      <w:spacing w:before="160" w:line="276" w:lineRule="auto"/>
      <w:ind w:left="936" w:right="936"/>
      <w:jc w:val="center"/>
    </w:pPr>
    <w:rPr>
      <w:rFonts w:asciiTheme="majorHAnsi" w:eastAsiaTheme="majorEastAsia" w:hAnsiTheme="majorHAnsi" w:cstheme="majorBidi"/>
      <w:caps/>
      <w:color w:val="9D3511" w:themeColor="accent1" w:themeShade="BF"/>
      <w:sz w:val="28"/>
      <w:szCs w:val="28"/>
    </w:rPr>
  </w:style>
  <w:style w:type="character" w:customStyle="1" w:styleId="CitadestacadaCar">
    <w:name w:val="Cita destacada Car"/>
    <w:basedOn w:val="Fuentedeprrafopredeter"/>
    <w:link w:val="Citadestacada"/>
    <w:uiPriority w:val="30"/>
    <w:rsid w:val="000969D3"/>
    <w:rPr>
      <w:rFonts w:asciiTheme="majorHAnsi" w:eastAsiaTheme="majorEastAsia" w:hAnsiTheme="majorHAnsi" w:cstheme="majorBidi"/>
      <w:caps/>
      <w:color w:val="9D3511" w:themeColor="accent1" w:themeShade="BF"/>
      <w:sz w:val="28"/>
      <w:szCs w:val="28"/>
    </w:rPr>
  </w:style>
  <w:style w:type="character" w:styleId="nfasissutil">
    <w:name w:val="Subtle Emphasis"/>
    <w:basedOn w:val="Fuentedeprrafopredeter"/>
    <w:uiPriority w:val="19"/>
    <w:qFormat/>
    <w:rsid w:val="000969D3"/>
    <w:rPr>
      <w:i/>
      <w:iCs/>
      <w:color w:val="595959" w:themeColor="text1" w:themeTint="A6"/>
    </w:rPr>
  </w:style>
  <w:style w:type="character" w:styleId="nfasisintenso">
    <w:name w:val="Intense Emphasis"/>
    <w:basedOn w:val="Fuentedeprrafopredeter"/>
    <w:uiPriority w:val="21"/>
    <w:qFormat/>
    <w:rsid w:val="000969D3"/>
    <w:rPr>
      <w:b/>
      <w:bCs/>
      <w:i/>
      <w:iCs/>
      <w:color w:val="auto"/>
    </w:rPr>
  </w:style>
  <w:style w:type="character" w:styleId="Referenciasutil">
    <w:name w:val="Subtle Reference"/>
    <w:basedOn w:val="Fuentedeprrafopredeter"/>
    <w:uiPriority w:val="31"/>
    <w:qFormat/>
    <w:rsid w:val="000969D3"/>
    <w:rPr>
      <w:caps w:val="0"/>
      <w:smallCaps/>
      <w:color w:val="404040" w:themeColor="text1" w:themeTint="BF"/>
      <w:spacing w:val="0"/>
      <w:u w:val="single" w:color="7F7F7F" w:themeColor="text1" w:themeTint="80"/>
    </w:rPr>
  </w:style>
  <w:style w:type="character" w:styleId="Referenciaintensa">
    <w:name w:val="Intense Reference"/>
    <w:basedOn w:val="Fuentedeprrafopredeter"/>
    <w:uiPriority w:val="32"/>
    <w:qFormat/>
    <w:rsid w:val="000969D3"/>
    <w:rPr>
      <w:b/>
      <w:bCs/>
      <w:caps w:val="0"/>
      <w:smallCaps/>
      <w:color w:val="auto"/>
      <w:spacing w:val="0"/>
      <w:u w:val="single"/>
    </w:rPr>
  </w:style>
  <w:style w:type="character" w:styleId="Ttulodellibro">
    <w:name w:val="Book Title"/>
    <w:basedOn w:val="Fuentedeprrafopredeter"/>
    <w:uiPriority w:val="33"/>
    <w:qFormat/>
    <w:rsid w:val="000969D3"/>
    <w:rPr>
      <w:b/>
      <w:bCs/>
      <w:caps w:val="0"/>
      <w:smallCaps/>
      <w:spacing w:val="0"/>
    </w:rPr>
  </w:style>
  <w:style w:type="paragraph" w:styleId="TtuloTDC">
    <w:name w:val="TOC Heading"/>
    <w:basedOn w:val="Ttulo1"/>
    <w:next w:val="Normal"/>
    <w:uiPriority w:val="39"/>
    <w:semiHidden/>
    <w:unhideWhenUsed/>
    <w:qFormat/>
    <w:rsid w:val="000969D3"/>
    <w:pPr>
      <w:outlineLvl w:val="9"/>
    </w:pPr>
  </w:style>
  <w:style w:type="paragraph" w:styleId="Encabezado">
    <w:name w:val="header"/>
    <w:basedOn w:val="Normal"/>
    <w:link w:val="EncabezadoCar"/>
    <w:uiPriority w:val="99"/>
    <w:unhideWhenUsed/>
    <w:rsid w:val="000969D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969D3"/>
  </w:style>
  <w:style w:type="paragraph" w:styleId="Piedepgina">
    <w:name w:val="footer"/>
    <w:basedOn w:val="Normal"/>
    <w:link w:val="PiedepginaCar"/>
    <w:uiPriority w:val="99"/>
    <w:unhideWhenUsed/>
    <w:rsid w:val="000969D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969D3"/>
  </w:style>
  <w:style w:type="character" w:styleId="Hipervnculo">
    <w:name w:val="Hyperlink"/>
    <w:basedOn w:val="Fuentedeprrafopredeter"/>
    <w:uiPriority w:val="99"/>
    <w:unhideWhenUsed/>
    <w:rsid w:val="00EC7C17"/>
    <w:rPr>
      <w:color w:val="CC9900" w:themeColor="hyperlink"/>
      <w:u w:val="single"/>
    </w:rPr>
  </w:style>
  <w:style w:type="character" w:styleId="Mencinsinresolver">
    <w:name w:val="Unresolved Mention"/>
    <w:basedOn w:val="Fuentedeprrafopredeter"/>
    <w:uiPriority w:val="99"/>
    <w:semiHidden/>
    <w:unhideWhenUsed/>
    <w:rsid w:val="00EC7C17"/>
    <w:rPr>
      <w:color w:val="605E5C"/>
      <w:shd w:val="clear" w:color="auto" w:fill="E1DFDD"/>
    </w:rPr>
  </w:style>
  <w:style w:type="paragraph" w:styleId="Textoindependiente">
    <w:name w:val="Body Text"/>
    <w:basedOn w:val="Normal"/>
    <w:link w:val="TextoindependienteCar"/>
    <w:uiPriority w:val="1"/>
    <w:qFormat/>
    <w:rsid w:val="00400807"/>
    <w:pPr>
      <w:widowControl w:val="0"/>
      <w:autoSpaceDE w:val="0"/>
      <w:autoSpaceDN w:val="0"/>
      <w:spacing w:after="0" w:line="240" w:lineRule="auto"/>
    </w:pPr>
    <w:rPr>
      <w:rFonts w:ascii="Tahoma" w:eastAsia="Tahoma" w:hAnsi="Tahoma" w:cs="Tahoma"/>
      <w:sz w:val="24"/>
      <w:szCs w:val="24"/>
      <w:lang w:val="es-ES" w:eastAsia="es-ES" w:bidi="es-ES"/>
    </w:rPr>
  </w:style>
  <w:style w:type="character" w:customStyle="1" w:styleId="TextoindependienteCar">
    <w:name w:val="Texto independiente Car"/>
    <w:basedOn w:val="Fuentedeprrafopredeter"/>
    <w:link w:val="Textoindependiente"/>
    <w:uiPriority w:val="1"/>
    <w:rsid w:val="00400807"/>
    <w:rPr>
      <w:rFonts w:ascii="Tahoma" w:eastAsia="Tahoma" w:hAnsi="Tahoma" w:cs="Tahoma"/>
      <w:sz w:val="24"/>
      <w:szCs w:val="24"/>
      <w:lang w:val="es-ES" w:eastAsia="es-ES" w:bidi="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1.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4.png"/><Relationship Id="rId7" Type="http://schemas.openxmlformats.org/officeDocument/2006/relationships/endnotes" Target="endnotes.xml"/><Relationship Id="rId12" Type="http://schemas.openxmlformats.org/officeDocument/2006/relationships/image" Target="media/image6.png"/><Relationship Id="rId17" Type="http://schemas.openxmlformats.org/officeDocument/2006/relationships/image" Target="media/image10.png"/><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dian.gov.co/descargas/ayuda/guia_rut/content/Responsabilidades1.htm" TargetMode="External"/><Relationship Id="rId20"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image" Target="media/image16.png"/><Relationship Id="rId10" Type="http://schemas.openxmlformats.org/officeDocument/2006/relationships/image" Target="media/image4.png"/><Relationship Id="rId19" Type="http://schemas.openxmlformats.org/officeDocument/2006/relationships/image" Target="media/image12.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5.png"/><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7.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Berlín">
  <a:themeElements>
    <a:clrScheme name="Naranja rojo">
      <a:dk1>
        <a:sysClr val="windowText" lastClr="000000"/>
      </a:dk1>
      <a:lt1>
        <a:sysClr val="window" lastClr="FFFFFF"/>
      </a:lt1>
      <a:dk2>
        <a:srgbClr val="696464"/>
      </a:dk2>
      <a:lt2>
        <a:srgbClr val="E9E5DC"/>
      </a:lt2>
      <a:accent1>
        <a:srgbClr val="D34817"/>
      </a:accent1>
      <a:accent2>
        <a:srgbClr val="9B2D1F"/>
      </a:accent2>
      <a:accent3>
        <a:srgbClr val="A28E6A"/>
      </a:accent3>
      <a:accent4>
        <a:srgbClr val="956251"/>
      </a:accent4>
      <a:accent5>
        <a:srgbClr val="918485"/>
      </a:accent5>
      <a:accent6>
        <a:srgbClr val="855D5D"/>
      </a:accent6>
      <a:hlink>
        <a:srgbClr val="CC9900"/>
      </a:hlink>
      <a:folHlink>
        <a:srgbClr val="96A9A9"/>
      </a:folHlink>
    </a:clrScheme>
    <a:fontScheme name="Gill Sans MT">
      <a:majorFont>
        <a:latin typeface="Gill Sans MT" panose="020B0502020104020203"/>
        <a:ea typeface=""/>
        <a:cs typeface=""/>
        <a:font script="Grek" typeface="Corbel"/>
        <a:font script="Cyrl" typeface="Corbel"/>
        <a:font script="Jpan" typeface="HGｺﾞｼｯｸE"/>
        <a:font script="Hang" typeface="휴먼매직체"/>
        <a:font script="Hans" typeface="华文中宋"/>
        <a:font script="Hant" typeface="微軟正黑體"/>
        <a:font script="Arab" typeface="Majalla UI"/>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Gill Sans MT" panose="020B0502020104020203"/>
        <a:ea typeface=""/>
        <a:cs typeface=""/>
        <a:font script="Grek" typeface="Corbel"/>
        <a:font script="Cyrl" typeface="Corbel"/>
        <a:font script="Jpan" typeface="HGｺﾞｼｯｸE"/>
        <a:font script="Hang" typeface="휴먼매직체"/>
        <a:font script="Hans" typeface="华文中宋"/>
        <a:font script="Hant" typeface="微軟正黑體"/>
        <a:font script="Arab" typeface="Majalla UI"/>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Berlín">
      <a:fillStyleLst>
        <a:solidFill>
          <a:schemeClr val="phClr"/>
        </a:solidFill>
        <a:gradFill rotWithShape="1">
          <a:gsLst>
            <a:gs pos="0">
              <a:schemeClr val="phClr">
                <a:tint val="60000"/>
                <a:satMod val="100000"/>
                <a:lumMod val="110000"/>
              </a:schemeClr>
            </a:gs>
            <a:gs pos="100000">
              <a:schemeClr val="phClr">
                <a:tint val="70000"/>
                <a:satMod val="100000"/>
                <a:lumMod val="100000"/>
              </a:schemeClr>
            </a:gs>
          </a:gsLst>
          <a:lin ang="5400000" scaled="0"/>
        </a:gradFill>
        <a:gradFill rotWithShape="1">
          <a:gsLst>
            <a:gs pos="0">
              <a:schemeClr val="phClr">
                <a:tint val="94000"/>
                <a:satMod val="103000"/>
                <a:lumMod val="102000"/>
              </a:schemeClr>
            </a:gs>
            <a:gs pos="50000">
              <a:schemeClr val="phClr">
                <a:shade val="100000"/>
                <a:satMod val="110000"/>
                <a:lumMod val="100000"/>
              </a:schemeClr>
            </a:gs>
            <a:gs pos="100000">
              <a:schemeClr val="phClr">
                <a:shade val="78000"/>
                <a:satMod val="120000"/>
                <a:lumMod val="99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19050"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6000"/>
                <a:shade val="100000"/>
                <a:hueMod val="270000"/>
                <a:satMod val="200000"/>
                <a:lumMod val="128000"/>
              </a:schemeClr>
            </a:gs>
            <a:gs pos="50000">
              <a:schemeClr val="phClr">
                <a:shade val="100000"/>
                <a:hueMod val="100000"/>
                <a:satMod val="110000"/>
                <a:lumMod val="130000"/>
              </a:schemeClr>
            </a:gs>
            <a:gs pos="100000">
              <a:schemeClr val="phClr">
                <a:shade val="78000"/>
                <a:hueMod val="44000"/>
                <a:satMod val="200000"/>
                <a:lumMod val="69000"/>
              </a:schemeClr>
            </a:gs>
          </a:gsLst>
          <a:lin ang="2520000" scaled="0"/>
        </a:gradFill>
      </a:bgFillStyleLst>
    </a:fmtScheme>
  </a:themeElements>
  <a:objectDefaults/>
  <a:extraClrSchemeLst/>
  <a:extLst>
    <a:ext uri="{05A4C25C-085E-4340-85A3-A5531E510DB2}">
      <thm15:themeFamily xmlns:thm15="http://schemas.microsoft.com/office/thememl/2012/main" name="Berlin" id="{7B5DBA9E-B069-418E-9360-A61BDD0615A4}" vid="{C0CBE056-4EF4-4D92-969E-947779DA7AA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352CF0-978B-4F3B-947F-B34BFBE73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16</Pages>
  <Words>4033</Words>
  <Characters>22184</Characters>
  <Application>Microsoft Office Word</Application>
  <DocSecurity>0</DocSecurity>
  <Lines>184</Lines>
  <Paragraphs>52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 Malpik</dc:creator>
  <cp:keywords/>
  <dc:description/>
  <cp:lastModifiedBy>Paula Malpica</cp:lastModifiedBy>
  <cp:revision>5</cp:revision>
  <cp:lastPrinted>2025-04-09T18:52:00Z</cp:lastPrinted>
  <dcterms:created xsi:type="dcterms:W3CDTF">2025-05-21T14:33:00Z</dcterms:created>
  <dcterms:modified xsi:type="dcterms:W3CDTF">2026-04-14T19:08:00Z</dcterms:modified>
</cp:coreProperties>
</file>